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475C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736CF8C" w14:textId="77777777" w:rsidR="00D63F71" w:rsidRDefault="00D63F71">
      <w:pPr>
        <w:spacing w:line="420" w:lineRule="exact"/>
        <w:jc w:val="center"/>
        <w:rPr>
          <w:rFonts w:ascii="Arial" w:hAnsi="Arial" w:cs="Arial"/>
          <w:b/>
          <w:snapToGrid/>
          <w:sz w:val="32"/>
          <w:szCs w:val="32"/>
        </w:rPr>
      </w:pPr>
    </w:p>
    <w:p w14:paraId="4CC5048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D4C7522" w14:textId="77777777" w:rsidR="00B93B3B" w:rsidRPr="00B93B3B" w:rsidRDefault="00B93B3B" w:rsidP="00B93B3B">
      <w:pPr>
        <w:spacing w:line="420" w:lineRule="exact"/>
        <w:jc w:val="both"/>
        <w:rPr>
          <w:rFonts w:ascii="Arial" w:hAnsi="Arial" w:cs="Arial"/>
          <w:snapToGrid/>
        </w:rPr>
      </w:pPr>
    </w:p>
    <w:p w14:paraId="3936600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60E119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4C54757" w14:textId="77777777" w:rsidR="00D63F71" w:rsidRDefault="00D63F71">
      <w:pPr>
        <w:spacing w:line="420" w:lineRule="exact"/>
        <w:jc w:val="both"/>
        <w:rPr>
          <w:rFonts w:ascii="Arial" w:hAnsi="Arial" w:cs="Arial"/>
          <w:i/>
          <w:snapToGrid/>
          <w:color w:val="0099FF"/>
          <w:sz w:val="18"/>
          <w:szCs w:val="18"/>
        </w:rPr>
      </w:pPr>
    </w:p>
    <w:p w14:paraId="6F4E8FB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3EC921C" w14:textId="77777777" w:rsidR="00D63F71" w:rsidRDefault="00D63F71">
      <w:pPr>
        <w:pStyle w:val="aa"/>
        <w:spacing w:before="0" w:after="0" w:line="240" w:lineRule="auto"/>
        <w:jc w:val="left"/>
        <w:rPr>
          <w:rFonts w:ascii="Arial" w:hAnsi="Arial" w:cs="Arial"/>
          <w:bCs w:val="0"/>
          <w:sz w:val="21"/>
          <w:szCs w:val="21"/>
        </w:rPr>
      </w:pPr>
    </w:p>
    <w:p w14:paraId="15AE173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qt6-qtdoc 6.5.2</w:t>
      </w:r>
    </w:p>
    <w:p w14:paraId="52BD40B1" w14:textId="77777777" w:rsidR="00D63F71" w:rsidRDefault="005D0DE9">
      <w:pPr>
        <w:rPr>
          <w:rFonts w:ascii="Arial" w:hAnsi="Arial" w:cs="Arial"/>
          <w:b/>
        </w:rPr>
      </w:pPr>
      <w:r>
        <w:rPr>
          <w:rFonts w:ascii="Arial" w:hAnsi="Arial" w:cs="Arial"/>
          <w:b/>
        </w:rPr>
        <w:t xml:space="preserve">Copyright notice: </w:t>
      </w:r>
    </w:p>
    <w:p w14:paraId="4167AA7B" w14:textId="184C1736" w:rsidR="00D63F71" w:rsidRDefault="005D0DE9">
      <w:pPr>
        <w:pStyle w:val="Default"/>
        <w:rPr>
          <w:rFonts w:ascii="宋体" w:hAnsi="宋体" w:cs="宋体"/>
          <w:sz w:val="22"/>
          <w:szCs w:val="22"/>
        </w:rPr>
      </w:pPr>
      <w:r>
        <w:rPr>
          <w:rFonts w:ascii="宋体" w:hAnsi="宋体"/>
          <w:sz w:val="22"/>
        </w:rPr>
        <w:t>Copyright (C) 2014 Sze Howe Koh &lt;szehowe.koh@gmail.com&gt;</w:t>
      </w:r>
      <w:r>
        <w:rPr>
          <w:rFonts w:ascii="宋体" w:hAnsi="宋体"/>
          <w:sz w:val="22"/>
        </w:rPr>
        <w:br/>
        <w:t>Copyright (C) 2016 The Qt Company Ltd.</w:t>
      </w:r>
      <w:r>
        <w:rPr>
          <w:rFonts w:ascii="宋体" w:hAnsi="宋体"/>
          <w:sz w:val="22"/>
        </w:rPr>
        <w:br/>
        <w:t>Copyright (C) 2022 The Qt Company Ltd.</w:t>
      </w:r>
      <w:r>
        <w:rPr>
          <w:rFonts w:ascii="宋体" w:hAnsi="宋体"/>
          <w:sz w:val="22"/>
        </w:rPr>
        <w:br/>
        <w:t>Copyright (C) 1999-2007  Brian Paul   All Rights Reserved.</w:t>
      </w:r>
      <w:r>
        <w:rPr>
          <w:rFonts w:ascii="宋体" w:hAnsi="宋体"/>
          <w:sz w:val="22"/>
        </w:rPr>
        <w:br/>
        <w:t>Copyright (C) 2021 The Qt Company Ltd.</w:t>
      </w:r>
      <w:r>
        <w:rPr>
          <w:rFonts w:ascii="宋体" w:hAnsi="宋体"/>
          <w:sz w:val="22"/>
        </w:rPr>
        <w:br/>
        <w:t>Copyright (c) 2001 Alexander Peslyak and it is hereby released to the general public under the following terms:</w:t>
      </w:r>
      <w:r>
        <w:rPr>
          <w:rFonts w:ascii="宋体" w:hAnsi="宋体"/>
          <w:sz w:val="22"/>
        </w:rPr>
        <w:br/>
        <w:t>Copyright (C) 2000, 2001, 2002, 2007, 2008 Free Software Foundation, Inc.</w:t>
      </w:r>
      <w:r>
        <w:rPr>
          <w:rFonts w:ascii="宋体" w:hAnsi="宋体"/>
          <w:sz w:val="22"/>
        </w:rPr>
        <w:br/>
        <w:t>Copyright (C) 1999-2007  Brian Paul.</w:t>
      </w:r>
      <w:r>
        <w:rPr>
          <w:rFonts w:ascii="宋体" w:hAnsi="宋体"/>
          <w:sz w:val="22"/>
        </w:rPr>
        <w:br/>
        <w:t>Copyright (c)  YEAR  YOUR NAME.</w:t>
      </w:r>
      <w:r>
        <w:rPr>
          <w:rFonts w:ascii="宋体" w:hAnsi="宋体"/>
          <w:sz w:val="22"/>
        </w:rPr>
        <w:br/>
        <w:t>Copyright (c) 2012 Google Inc.</w:t>
      </w:r>
      <w:r>
        <w:rPr>
          <w:rFonts w:ascii="宋体" w:hAnsi="宋体"/>
          <w:sz w:val="22"/>
        </w:rPr>
        <w:br/>
        <w:t>Copyright (C) 2017 Klaralvdalens Datakonsult AB (KDAB).</w:t>
      </w:r>
      <w:r>
        <w:rPr>
          <w:rFonts w:ascii="宋体" w:hAnsi="宋体"/>
          <w:sz w:val="22"/>
        </w:rPr>
        <w:br/>
        <w:t>Copyright: Copyright 2018 Google, Inc. All Rights Reserved.</w:t>
      </w:r>
      <w:r>
        <w:rPr>
          <w:rFonts w:ascii="宋体" w:hAnsi="宋体"/>
          <w:sz w:val="22"/>
        </w:rPr>
        <w:br/>
        <w:t>Copyright (c) 2003 by Bitstream, Inc. All Rights Reserved. Bitstream Vera is a trademark of Bitstream, Inc.</w:t>
      </w:r>
      <w:r>
        <w:rPr>
          <w:rFonts w:ascii="宋体" w:hAnsi="宋体"/>
          <w:sz w:val="22"/>
        </w:rPr>
        <w:br/>
        <w:t>Copyright (C) 2007 Free Software Foundation, Inc. &lt;http:fsf.org/&gt;</w:t>
      </w:r>
      <w:r>
        <w:rPr>
          <w:rFonts w:ascii="宋体" w:hAnsi="宋体"/>
          <w:sz w:val="22"/>
        </w:rPr>
        <w:br/>
        <w:t>Copyright (C) 2017 The Qt Company Ltd.</w:t>
      </w:r>
      <w:r>
        <w:rPr>
          <w:rFonts w:ascii="宋体" w:hAnsi="宋体"/>
          <w:sz w:val="22"/>
        </w:rPr>
        <w:br/>
      </w:r>
      <w:r>
        <w:rPr>
          <w:rFonts w:ascii="宋体" w:hAnsi="宋体"/>
          <w:sz w:val="22"/>
        </w:rPr>
        <w:lastRenderedPageBreak/>
        <w:t>Copyright (C) 2019 The Qt Company Ltd.</w:t>
      </w:r>
      <w:r>
        <w:rPr>
          <w:rFonts w:ascii="宋体" w:hAnsi="宋体"/>
          <w:sz w:val="22"/>
        </w:rPr>
        <w:br/>
        <w:t>Copyright (C) 2020 The Qt Company Ltd.</w:t>
      </w:r>
      <w:r>
        <w:rPr>
          <w:rFonts w:ascii="宋体" w:hAnsi="宋体"/>
          <w:sz w:val="22"/>
        </w:rPr>
        <w:br/>
        <w:t>Copyright 2005-2011 Kitware, Inc.</w:t>
      </w:r>
      <w:r>
        <w:rPr>
          <w:rFonts w:ascii="宋体" w:hAnsi="宋体"/>
          <w:sz w:val="22"/>
        </w:rPr>
        <w:br/>
        <w:t>Copyright (C) 2020 Sze Howe Koh &lt;szehowe.koh@gmail.com&gt;</w:t>
      </w:r>
      <w:r>
        <w:rPr>
          <w:rFonts w:ascii="宋体" w:hAnsi="宋体"/>
          <w:sz w:val="22"/>
        </w:rPr>
        <w:br/>
        <w:t>Copyright (c) 1994 The Regents of the University of California.  All rights reserved.</w:t>
      </w:r>
      <w:r>
        <w:rPr>
          <w:rFonts w:ascii="宋体" w:hAnsi="宋体"/>
          <w:sz w:val="22"/>
        </w:rPr>
        <w:br/>
        <w:t>Copyright 1992, 1993, 1994 Henry Spencer.  All rights reserved.</w:t>
      </w:r>
      <w:r>
        <w:rPr>
          <w:rFonts w:ascii="宋体" w:hAnsi="宋体"/>
          <w:sz w:val="22"/>
        </w:rPr>
        <w:br/>
        <w:t>Copyright (C) 2000 by Catharon Productions, Inc.</w:t>
      </w:r>
      <w:r>
        <w:rPr>
          <w:rFonts w:ascii="宋体" w:hAnsi="宋体"/>
          <w:sz w:val="22"/>
        </w:rPr>
        <w:br/>
        <w:t>Copyright (c) 2003-2017 University of Illinois at Urbana-Champaign.</w:t>
      </w:r>
      <w:r>
        <w:rPr>
          <w:rFonts w:ascii="宋体" w:hAnsi="宋体"/>
          <w:sz w:val="22"/>
        </w:rPr>
        <w:br/>
        <w:t>Copyright (c) 2015 The Qt Company Ltd.</w:t>
      </w:r>
      <w:r>
        <w:rPr>
          <w:rFonts w:ascii="宋体" w:hAnsi="宋体"/>
          <w:sz w:val="22"/>
        </w:rPr>
        <w:br/>
        <w:t>Copyright (C) 2023 The Qt Company Ltd.</w:t>
      </w:r>
      <w:r>
        <w:rPr>
          <w:rFonts w:ascii="宋体" w:hAnsi="宋体"/>
          <w:sz w:val="22"/>
        </w:rPr>
        <w:br/>
        <w:t>Copyright (c) 2013-2016 The Khronos Group Inc.</w:t>
      </w:r>
      <w:r>
        <w:rPr>
          <w:rFonts w:ascii="宋体" w:hAnsi="宋体"/>
          <w:sz w:val="22"/>
        </w:rPr>
        <w:br/>
        <w:t>Copyright: Copyright (c) 2009-2011 by Accademia di Belle Arti di Urbino and students of MA course of Visual design. Some rights reserved.</w:t>
      </w:r>
      <w:r>
        <w:rPr>
          <w:rFonts w:ascii="宋体" w:hAnsi="宋体"/>
          <w:sz w:val="22"/>
        </w:rPr>
        <w:br/>
        <w:t>Copyright (c) 2006 by Tavmjong Bah. All Rights Reserved.</w:t>
      </w:r>
      <w:r>
        <w:rPr>
          <w:rFonts w:ascii="宋体" w:hAnsi="宋体"/>
          <w:sz w:val="22"/>
        </w:rPr>
        <w:br/>
      </w:r>
    </w:p>
    <w:p w14:paraId="410404E7" w14:textId="77777777" w:rsidR="00D63F71" w:rsidRDefault="005D0DE9">
      <w:pPr>
        <w:pStyle w:val="Default"/>
        <w:rPr>
          <w:rFonts w:ascii="宋体" w:hAnsi="宋体" w:cs="宋体"/>
          <w:sz w:val="22"/>
          <w:szCs w:val="22"/>
        </w:rPr>
      </w:pPr>
      <w:r>
        <w:rPr>
          <w:b/>
        </w:rPr>
        <w:t xml:space="preserve">License: </w:t>
      </w:r>
      <w:r>
        <w:rPr>
          <w:sz w:val="21"/>
        </w:rPr>
        <w:t>LGPLv3 and GPL-3.0-or-later</w:t>
      </w:r>
    </w:p>
    <w:p w14:paraId="523CF20D"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 xml:space="preserve">The “Minimal Corresponding Source” for a Combined Work means the Corresponding Source for the Combined </w:t>
      </w:r>
      <w:r>
        <w:rPr>
          <w:rFonts w:ascii="Times New Roman" w:hAnsi="Times New Roman"/>
          <w:sz w:val="21"/>
        </w:rPr>
        <w:lastRenderedPageBreak/>
        <w:t>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 xml:space="preserve">0) Convey the Minimal Corresponding Source under the terms of this License, and the Corresponding Application </w:t>
      </w:r>
      <w:r>
        <w:rPr>
          <w:rFonts w:ascii="Times New Roman" w:hAnsi="Times New Roman"/>
          <w:sz w:val="21"/>
        </w:rPr>
        <w:lastRenderedPageBreak/>
        <w:t>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lastRenderedPageBreak/>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 xml:space="preserve">Finally, every program is threatened constantly by software patents. States should not allow patents to restrict development and use of software on general-purpose computers, but in those that do, we wish to avoid the special </w:t>
      </w:r>
      <w:r>
        <w:rPr>
          <w:rFonts w:ascii="Times New Roman" w:hAnsi="Times New Roman"/>
          <w:sz w:val="21"/>
        </w:rPr>
        <w:lastRenderedPageBreak/>
        <w:t>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r>
      <w:r>
        <w:rPr>
          <w:rFonts w:ascii="Times New Roman" w:hAnsi="Times New Roman"/>
          <w:sz w:val="21"/>
        </w:rPr>
        <w:lastRenderedPageBreak/>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 xml:space="preserve">No covered work shall be deemed part of an effective technological measure under any applicable law fulfilling obligations under article 11 of the WIPO copyright treaty adopted on 20 December 1996, or similar laws </w:t>
      </w:r>
      <w:r>
        <w:rPr>
          <w:rFonts w:ascii="Times New Roman" w:hAnsi="Times New Roman"/>
          <w:sz w:val="21"/>
        </w:rPr>
        <w:lastRenderedPageBreak/>
        <w:t>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 xml:space="preserve">a) Convey the object code in, or embodied in, a physical product (including a physical distribution medium), accompanied by the Corresponding Source fixed on a durable physical medium customarily used for software </w:t>
      </w:r>
      <w:r>
        <w:rPr>
          <w:rFonts w:ascii="Times New Roman" w:hAnsi="Times New Roman"/>
          <w:sz w:val="21"/>
        </w:rPr>
        <w:lastRenderedPageBreak/>
        <w:t>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 xml:space="preserve">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w:t>
      </w:r>
      <w:r>
        <w:rPr>
          <w:rFonts w:ascii="Times New Roman" w:hAnsi="Times New Roman"/>
          <w:sz w:val="21"/>
        </w:rPr>
        <w:lastRenderedPageBreak/>
        <w:t>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 xml:space="preserve">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w:t>
      </w:r>
      <w:r>
        <w:rPr>
          <w:rFonts w:ascii="Times New Roman" w:hAnsi="Times New Roman"/>
          <w:sz w:val="21"/>
        </w:rPr>
        <w:lastRenderedPageBreak/>
        <w:t>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 xml:space="preserve">An “entity transaction” is a transaction transferring control of an organization, or substantially all assets of one, or subdividing an organization, or merging organizations. If propagation of a covered work results from an entity </w:t>
      </w:r>
      <w:r>
        <w:rPr>
          <w:rFonts w:ascii="Times New Roman" w:hAnsi="Times New Roman"/>
          <w:sz w:val="21"/>
        </w:rPr>
        <w:lastRenderedPageBreak/>
        <w:t>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lastRenderedPageBreak/>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 xml:space="preserve">If the Program specifies that a proxy can decide which future versions of the GNU General Public License can be used, that proxy's public statement of acceptance of a version permanently authorizes you to choose that version for </w:t>
      </w:r>
      <w:r>
        <w:rPr>
          <w:rFonts w:ascii="Times New Roman" w:hAnsi="Times New Roman"/>
          <w:sz w:val="21"/>
        </w:rPr>
        <w:lastRenderedPageBreak/>
        <w:t>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lastRenderedPageBreak/>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071EB84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090A10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77DB76D"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7CF2811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0699E" w14:textId="77777777" w:rsidR="00702D7B" w:rsidRDefault="00702D7B">
      <w:pPr>
        <w:spacing w:line="240" w:lineRule="auto"/>
      </w:pPr>
      <w:r>
        <w:separator/>
      </w:r>
    </w:p>
  </w:endnote>
  <w:endnote w:type="continuationSeparator" w:id="0">
    <w:p w14:paraId="5D03A6B5" w14:textId="77777777" w:rsidR="00702D7B" w:rsidRDefault="00702D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63DE80D" w14:textId="77777777">
      <w:tc>
        <w:tcPr>
          <w:tcW w:w="1542" w:type="pct"/>
        </w:tcPr>
        <w:p w14:paraId="1E7E49BF" w14:textId="77777777" w:rsidR="00D63F71" w:rsidRDefault="005D0DE9">
          <w:pPr>
            <w:pStyle w:val="a8"/>
          </w:pPr>
          <w:r>
            <w:fldChar w:fldCharType="begin"/>
          </w:r>
          <w:r>
            <w:instrText xml:space="preserve"> DATE \@ "yyyy-MM-dd" </w:instrText>
          </w:r>
          <w:r>
            <w:fldChar w:fldCharType="separate"/>
          </w:r>
          <w:r w:rsidR="00850372">
            <w:rPr>
              <w:noProof/>
            </w:rPr>
            <w:t>2024-05-16</w:t>
          </w:r>
          <w:r>
            <w:fldChar w:fldCharType="end"/>
          </w:r>
        </w:p>
      </w:tc>
      <w:tc>
        <w:tcPr>
          <w:tcW w:w="1853" w:type="pct"/>
        </w:tcPr>
        <w:p w14:paraId="6DDFDF0E" w14:textId="77777777" w:rsidR="00D63F71" w:rsidRDefault="00D63F71">
          <w:pPr>
            <w:pStyle w:val="a8"/>
            <w:ind w:firstLineChars="200" w:firstLine="360"/>
          </w:pPr>
        </w:p>
      </w:tc>
      <w:tc>
        <w:tcPr>
          <w:tcW w:w="1605" w:type="pct"/>
        </w:tcPr>
        <w:p w14:paraId="407CFE8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02D7B">
            <w:fldChar w:fldCharType="begin"/>
          </w:r>
          <w:r w:rsidR="00702D7B">
            <w:instrText xml:space="preserve"> NUMPAGES  \* Arabic  \* MERGEFORMAT </w:instrText>
          </w:r>
          <w:r w:rsidR="00702D7B">
            <w:fldChar w:fldCharType="separate"/>
          </w:r>
          <w:r w:rsidR="00B93B3B">
            <w:rPr>
              <w:noProof/>
            </w:rPr>
            <w:t>1</w:t>
          </w:r>
          <w:r w:rsidR="00702D7B">
            <w:rPr>
              <w:noProof/>
            </w:rPr>
            <w:fldChar w:fldCharType="end"/>
          </w:r>
        </w:p>
      </w:tc>
    </w:tr>
  </w:tbl>
  <w:p w14:paraId="5FFBEE1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FC375" w14:textId="77777777" w:rsidR="00702D7B" w:rsidRDefault="00702D7B">
      <w:r>
        <w:separator/>
      </w:r>
    </w:p>
  </w:footnote>
  <w:footnote w:type="continuationSeparator" w:id="0">
    <w:p w14:paraId="4C0EAA1D" w14:textId="77777777" w:rsidR="00702D7B" w:rsidRDefault="00702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51E3D1B" w14:textId="77777777">
      <w:trPr>
        <w:cantSplit/>
        <w:trHeight w:hRule="exact" w:val="777"/>
      </w:trPr>
      <w:tc>
        <w:tcPr>
          <w:tcW w:w="492" w:type="pct"/>
          <w:tcBorders>
            <w:bottom w:val="single" w:sz="6" w:space="0" w:color="auto"/>
          </w:tcBorders>
        </w:tcPr>
        <w:p w14:paraId="3FC40E03" w14:textId="77777777" w:rsidR="00D63F71" w:rsidRDefault="00D63F71">
          <w:pPr>
            <w:pStyle w:val="a9"/>
          </w:pPr>
        </w:p>
        <w:p w14:paraId="5F5A69E5" w14:textId="77777777" w:rsidR="00D63F71" w:rsidRDefault="00D63F71">
          <w:pPr>
            <w:ind w:left="420"/>
          </w:pPr>
        </w:p>
      </w:tc>
      <w:tc>
        <w:tcPr>
          <w:tcW w:w="3283" w:type="pct"/>
          <w:tcBorders>
            <w:bottom w:val="single" w:sz="6" w:space="0" w:color="auto"/>
          </w:tcBorders>
          <w:vAlign w:val="bottom"/>
        </w:tcPr>
        <w:p w14:paraId="2A9D6A1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3FC6792" w14:textId="77777777" w:rsidR="00D63F71" w:rsidRDefault="00D63F71">
          <w:pPr>
            <w:pStyle w:val="a9"/>
            <w:ind w:firstLine="33"/>
          </w:pPr>
        </w:p>
      </w:tc>
    </w:tr>
  </w:tbl>
  <w:p w14:paraId="641B126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2D7B"/>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372"/>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17740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6723</Words>
  <Characters>38326</Characters>
  <Application>Microsoft Office Word</Application>
  <DocSecurity>0</DocSecurity>
  <Lines>319</Lines>
  <Paragraphs>89</Paragraphs>
  <ScaleCrop>false</ScaleCrop>
  <Company>Huawei Technologies Co.,Ltd.</Company>
  <LinksUpToDate>false</LinksUpToDate>
  <CharactersWithSpaces>44960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