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w:t>
      </w:r>
      <w:r>
        <w:rPr>
          <w:rStyle w:val="a0"/>
          <w:rFonts w:ascii="微软雅黑" w:hAnsi="微软雅黑"/>
          <w:b w:val="0"/>
          <w:sz w:val="21"/>
        </w:rPr>
        <w:t>-display-switch 3.0.13</w:t>
      </w:r>
    </w:p>
    <w:p>
      <w:pPr/>
      <w:r>
        <w:rPr>
          <w:rStyle w:val="a0"/>
          <w:rFonts w:ascii="Arial" w:hAnsi="Arial"/>
          <w:b/>
        </w:rPr>
        <w:t xml:space="preserve">Copyright notice: </w:t>
      </w:r>
    </w:p>
    <w:p>
      <w:pPr/>
      <w:r>
        <w:rPr>
          <w:rStyle w:val="a0"/>
          <w:rFonts w:ascii="宋体" w:hAnsi="宋体"/>
          <w:sz w:val="22"/>
        </w:rP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 xml:space="preserve">Copyright (C) 2016 The </w:t>
      </w:r>
      <w:r>
        <w:rPr>
          <w:rStyle w:val="a0"/>
          <w:rFonts w:ascii="宋体" w:hAnsi="宋体"/>
          <w:sz w:val="22"/>
        </w:rPr>
        <w:t>Qt</w:t>
      </w:r>
      <w:r>
        <w:rPr>
          <w:rStyle w:val="a0"/>
          <w:rFonts w:ascii="宋体" w:hAnsi="宋体"/>
          <w:sz w:val="22"/>
        </w:rPr>
        <w:t xml:space="preserve"> Company Ltd</w:t>
      </w:r>
      <w:r>
        <w:rPr>
          <w:rStyle w:val="a0"/>
          <w:rFonts w:ascii="宋体" w:hAnsi="宋体"/>
          <w:sz w:val="22"/>
        </w:rPr>
        <w:t>.</w:t>
      </w:r>
      <w:r>
        <w:rPr>
          <w:rStyle w:val="a0"/>
          <w:rFonts w:ascii="宋体" w:hAnsi="宋体"/>
          <w:sz w:val="22"/>
        </w:rPr>
        <w:br/>
        <w:t xml:space="preserve">Copyright (C) 2019 Tianjin KYLIN Information Technology </w:t>
      </w:r>
      <w:r>
        <w:rPr>
          <w:rStyle w:val="a0"/>
          <w:rFonts w:ascii="宋体" w:hAnsi="宋体"/>
          <w:sz w:val="22"/>
        </w:rPr>
        <w:t>Co.</w:t>
      </w:r>
      <w:r>
        <w:rPr>
          <w:rStyle w:val="a0"/>
          <w:rFonts w:ascii="宋体" w:hAnsi="宋体"/>
          <w:sz w:val="22"/>
        </w:rPr>
        <w:t>Ltd</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GPL-3</w:t>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p>
    <w:p>
      <w:pPr/>
    </w:p>
    <w:p>
      <w:pP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 xml:space="preserve">You may convey verbatim copies of the Program's source code as you receive it, in any medium, provided that you </w:t>
      </w:r>
      <w:r>
        <w:rPr>
          <w:rStyle w:val="a0"/>
          <w:rFonts w:ascii="Times New Roman" w:hAnsi="Times New Roman"/>
          <w:sz w:val="21"/>
        </w:rPr>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p>
    <w:p>
      <w:pPr/>
      <w:r>
        <w:rPr>
          <w:rStyle w:val="a0"/>
          <w:rFonts w:ascii="Times New Roman" w:hAnsi="Times New Roman"/>
          <w:sz w:val="21"/>
        </w:rPr>
        <w:t xml:space="preserve">d) Convey the object code by offering access from a designated place (gratis or for a charge), and offer equivalent </w:t>
      </w:r>
      <w:r>
        <w:rPr>
          <w:rStyle w:val="a0"/>
          <w:rFonts w:ascii="Times New Roman" w:hAnsi="Times New Roman"/>
          <w:sz w:val="21"/>
        </w:rPr>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Pr>
          <w:rStyle w:val="a0"/>
          <w:rFonts w:ascii="Times New Roman" w:hAnsi="Times New Roman"/>
          <w:sz w:val="21"/>
        </w:rPr>
        <w:t>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w:t>
      </w:r>
      <w:r>
        <w:rPr>
          <w:rStyle w:val="a0"/>
          <w:rFonts w:ascii="Times New Roman" w:hAnsi="Times New Roman"/>
          <w:sz w:val="21"/>
        </w:rPr>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p>
    <w:p>
      <w:pPr/>
      <w:r>
        <w:rPr>
          <w:rStyle w:val="a0"/>
          <w:rFonts w:ascii="Times New Roman" w:hAnsi="Times New Roman"/>
          <w:sz w:val="21"/>
        </w:rP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Pr>
          <w:rStyle w:val="a0"/>
          <w:rFonts w:ascii="Times New Roman" w:hAnsi="Times New Roman"/>
          <w:sz w:val="21"/>
        </w:rPr>
        <w:t>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 xml:space="preserve">The hypothetical commands `show w' and `show c' should show the appropriate parts of the General Public </w:t>
      </w:r>
      <w:r>
        <w:rPr>
          <w:rStyle w:val="a0"/>
          <w:rFonts w:ascii="Times New Roman" w:hAnsi="Times New Roman"/>
          <w:sz w:val="21"/>
        </w:rPr>
        <w:t>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