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4E171"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3FE9812B" w14:textId="77777777" w:rsidR="00D63F71" w:rsidRDefault="00D63F71">
      <w:pPr>
        <w:spacing w:line="420" w:lineRule="exact"/>
        <w:jc w:val="center"/>
        <w:rPr>
          <w:rFonts w:ascii="Arial" w:hAnsi="Arial" w:cs="Arial"/>
          <w:b/>
          <w:snapToGrid/>
          <w:sz w:val="32"/>
          <w:szCs w:val="32"/>
        </w:rPr>
      </w:pPr>
    </w:p>
    <w:p w14:paraId="7C0D35A5"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21CFF1C8" w14:textId="77777777" w:rsidR="00B93B3B" w:rsidRPr="00B93B3B" w:rsidRDefault="00B93B3B" w:rsidP="00B93B3B">
      <w:pPr>
        <w:spacing w:line="420" w:lineRule="exact"/>
        <w:jc w:val="both"/>
        <w:rPr>
          <w:rFonts w:ascii="Arial" w:hAnsi="Arial" w:cs="Arial"/>
          <w:snapToGrid/>
        </w:rPr>
      </w:pPr>
    </w:p>
    <w:p w14:paraId="417B3C6E"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FCA195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773AB5C1" w14:textId="77777777" w:rsidR="00D63F71" w:rsidRDefault="00D63F71">
      <w:pPr>
        <w:spacing w:line="420" w:lineRule="exact"/>
        <w:jc w:val="both"/>
        <w:rPr>
          <w:rFonts w:ascii="Arial" w:hAnsi="Arial" w:cs="Arial"/>
          <w:i/>
          <w:snapToGrid/>
          <w:color w:val="0099FF"/>
          <w:sz w:val="18"/>
          <w:szCs w:val="18"/>
        </w:rPr>
      </w:pPr>
    </w:p>
    <w:p w14:paraId="225BB23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32CFA5B1" w14:textId="77777777" w:rsidR="00D63F71" w:rsidRDefault="00D63F71">
      <w:pPr>
        <w:pStyle w:val="aa"/>
        <w:spacing w:before="0" w:after="0" w:line="240" w:lineRule="auto"/>
        <w:jc w:val="left"/>
        <w:rPr>
          <w:rFonts w:ascii="Arial" w:hAnsi="Arial" w:cs="Arial"/>
          <w:bCs w:val="0"/>
          <w:sz w:val="21"/>
          <w:szCs w:val="21"/>
        </w:rPr>
      </w:pPr>
    </w:p>
    <w:p w14:paraId="6314515D" w14:textId="3F717F58"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kf5-</w:t>
      </w:r>
      <w:r w:rsidR="00923D0B" w:rsidRPr="00923D0B">
        <w:rPr>
          <w:rFonts w:ascii="微软雅黑" w:hAnsi="微软雅黑"/>
          <w:b w:val="0"/>
          <w:sz w:val="21"/>
        </w:rPr>
        <w:t>kpeople</w:t>
      </w:r>
      <w:r>
        <w:rPr>
          <w:rFonts w:ascii="微软雅黑" w:hAnsi="微软雅黑"/>
          <w:b w:val="0"/>
          <w:sz w:val="21"/>
        </w:rPr>
        <w:t xml:space="preserve"> 5.113.0</w:t>
      </w:r>
    </w:p>
    <w:p w14:paraId="1D82435D" w14:textId="77777777" w:rsidR="00D63F71" w:rsidRDefault="005D0DE9">
      <w:pPr>
        <w:rPr>
          <w:rFonts w:ascii="Arial" w:hAnsi="Arial" w:cs="Arial"/>
          <w:b/>
        </w:rPr>
      </w:pPr>
      <w:r>
        <w:rPr>
          <w:rFonts w:ascii="Arial" w:hAnsi="Arial" w:cs="Arial"/>
          <w:b/>
        </w:rPr>
        <w:t xml:space="preserve">Copyright notice: </w:t>
      </w:r>
    </w:p>
    <w:p w14:paraId="295F13D0" w14:textId="77777777" w:rsidR="00D63F71" w:rsidRDefault="005D0DE9">
      <w:pPr>
        <w:pStyle w:val="Default"/>
        <w:rPr>
          <w:rFonts w:ascii="宋体" w:hAnsi="宋体" w:cs="宋体"/>
          <w:sz w:val="22"/>
          <w:szCs w:val="22"/>
        </w:rPr>
      </w:pPr>
      <w:r>
        <w:rPr>
          <w:rFonts w:ascii="宋体" w:hAnsi="宋体"/>
          <w:sz w:val="22"/>
        </w:rPr>
        <w:t>SPDX-FileCopyrightText: 2019 Aleix Pol i Gonzalez &lt;aleixpol@blue-systems.com&gt;</w:t>
      </w:r>
      <w:r>
        <w:rPr>
          <w:rFonts w:ascii="宋体" w:hAnsi="宋体"/>
          <w:sz w:val="22"/>
        </w:rPr>
        <w:br/>
        <w:t>SPDX-FileCopyrightText: 2022 Jonah Brüchert &lt;jbb@kaidan.im&gt;</w:t>
      </w:r>
      <w:r>
        <w:rPr>
          <w:rFonts w:ascii="宋体" w:hAnsi="宋体"/>
          <w:sz w:val="22"/>
        </w:rPr>
        <w:br/>
        <w:t>SPDX-FileCopyrightText: 2011 Martin Klapetek &lt;mklapetek@kde.org&gt;</w:t>
      </w:r>
      <w:r>
        <w:rPr>
          <w:rFonts w:ascii="宋体" w:hAnsi="宋体"/>
          <w:sz w:val="22"/>
        </w:rPr>
        <w:br/>
        <w:t>SPDX-FileCopyrightText: 2012 Aleix Pol Gonzalez &lt;aleixpol@blue-systems.com&gt;</w:t>
      </w:r>
      <w:r>
        <w:rPr>
          <w:rFonts w:ascii="宋体" w:hAnsi="宋体"/>
          <w:sz w:val="22"/>
        </w:rPr>
        <w:br/>
        <w:t>SPDX-FileCopyrightText: 2013 David Edmundson &lt;davidedmundsonk@kde.org&gt;</w:t>
      </w:r>
      <w:r>
        <w:rPr>
          <w:rFonts w:ascii="宋体" w:hAnsi="宋体"/>
          <w:sz w:val="22"/>
        </w:rPr>
        <w:br/>
        <w:t>SPDX-FileCopyrightText: 2020 Jonah Brüchert &lt;jbb.prv@gmx.de&gt;</w:t>
      </w:r>
      <w:r>
        <w:rPr>
          <w:rFonts w:ascii="宋体" w:hAnsi="宋体"/>
          <w:sz w:val="22"/>
        </w:rPr>
        <w:br/>
        <w:t>SPDX-FileCopyrightText: 2013 David Edmundson &lt;D.Edmundson@lboro.ac.uk&gt;</w:t>
      </w:r>
      <w:r>
        <w:rPr>
          <w:rFonts w:ascii="宋体" w:hAnsi="宋体"/>
          <w:sz w:val="22"/>
        </w:rPr>
        <w:br/>
        <w:t>SPDX-FileCopyrightText: 2015 Aleix Pol &lt;aleixpol@kde.org&gt;</w:t>
      </w:r>
      <w:r>
        <w:rPr>
          <w:rFonts w:ascii="宋体" w:hAnsi="宋体"/>
          <w:sz w:val="22"/>
        </w:rPr>
        <w:br/>
        <w:t>SPDX-FileCopyrightText: 2012 Martin Klapetek &lt;martin.klapetek@gmail.com&gt;</w:t>
      </w:r>
      <w:r>
        <w:rPr>
          <w:rFonts w:ascii="宋体" w:hAnsi="宋体"/>
          <w:sz w:val="22"/>
        </w:rPr>
        <w:br/>
        <w:t>SPDX-FileCopyrightText: 2014 Aleix Pol i Gonzalez &lt;aleixpol@blue-systems.com&gt;</w:t>
      </w:r>
      <w:r>
        <w:rPr>
          <w:rFonts w:ascii="宋体" w:hAnsi="宋体"/>
          <w:sz w:val="22"/>
        </w:rPr>
        <w:br/>
        <w:t>SPDX-FileCopyrightText: 2013 David Edmundson &lt;davidedmundson@kde.org&gt;</w:t>
      </w:r>
      <w:r>
        <w:rPr>
          <w:rFonts w:ascii="宋体" w:hAnsi="宋体"/>
          <w:sz w:val="22"/>
        </w:rPr>
        <w:br/>
        <w:t>SPDX-FileCopyrightText: 2014 Aleix Pol Gonzalez &lt;aleixpol@blue-systems.com&gt;</w:t>
      </w:r>
      <w:r>
        <w:rPr>
          <w:rFonts w:ascii="宋体" w:hAnsi="宋体"/>
          <w:sz w:val="22"/>
        </w:rPr>
        <w:br/>
        <w:t>SPDX-FileCopyrightText: 2013 Franck Arrecot &lt;franck.arrecot@gmail.com&gt;</w:t>
      </w:r>
      <w:r>
        <w:rPr>
          <w:rFonts w:ascii="宋体" w:hAnsi="宋体"/>
          <w:sz w:val="22"/>
        </w:rPr>
        <w:br/>
        <w:t>Copyright (C) 1991, 1999 Free Software Foundation, Inc.</w:t>
      </w:r>
      <w:r>
        <w:rPr>
          <w:rFonts w:ascii="宋体" w:hAnsi="宋体"/>
          <w:sz w:val="22"/>
        </w:rPr>
        <w:br/>
        <w:t>SPDX-FileCopyrightText: 2013 David Edmundson (davidedmundson@kde.org)</w:t>
      </w:r>
      <w:r>
        <w:rPr>
          <w:rFonts w:ascii="宋体" w:hAnsi="宋体"/>
          <w:sz w:val="22"/>
        </w:rPr>
        <w:br/>
        <w:t>SPDX-FileCopyrightText: 2013 Martin Klapetek &lt;mklapetek@kde.org&gt;</w:t>
      </w:r>
      <w:r>
        <w:rPr>
          <w:rFonts w:ascii="宋体" w:hAnsi="宋体"/>
          <w:sz w:val="22"/>
        </w:rPr>
        <w:br/>
        <w:t>SPDX-FileCopyrightText: 2013 David Edmundson &lt;david@davidedmundson.co.uk&gt;</w:t>
      </w:r>
      <w:r>
        <w:rPr>
          <w:rFonts w:ascii="宋体" w:hAnsi="宋体"/>
          <w:sz w:val="22"/>
        </w:rPr>
        <w:br/>
      </w:r>
      <w:r>
        <w:rPr>
          <w:rFonts w:ascii="宋体" w:hAnsi="宋体"/>
          <w:sz w:val="22"/>
        </w:rPr>
        <w:lastRenderedPageBreak/>
        <w:t>SPDX-FileCopyrightText: 2018 Igor Poboiko &lt;igor.poboiko@gmail.com&gt;</w:t>
      </w:r>
      <w:r>
        <w:rPr>
          <w:rFonts w:ascii="宋体" w:hAnsi="宋体"/>
          <w:sz w:val="22"/>
        </w:rPr>
        <w:br/>
        <w:t>SPDX-FileCopyrightText: 2015 Aleix Pol i Gonzalez &lt;aleixpol@blue-systems.com&gt;</w:t>
      </w:r>
      <w:r>
        <w:rPr>
          <w:rFonts w:ascii="宋体" w:hAnsi="宋体"/>
          <w:sz w:val="22"/>
        </w:rPr>
        <w:br/>
      </w:r>
    </w:p>
    <w:p w14:paraId="3F87E1E9" w14:textId="77777777" w:rsidR="00D63F71" w:rsidRDefault="005D0DE9">
      <w:pPr>
        <w:pStyle w:val="Default"/>
        <w:rPr>
          <w:rFonts w:ascii="宋体" w:hAnsi="宋体" w:cs="宋体"/>
          <w:sz w:val="22"/>
          <w:szCs w:val="22"/>
        </w:rPr>
      </w:pPr>
      <w:r>
        <w:rPr>
          <w:b/>
        </w:rPr>
        <w:t xml:space="preserve">License: </w:t>
      </w:r>
      <w:r>
        <w:rPr>
          <w:sz w:val="21"/>
        </w:rPr>
        <w:t>LGPLv2+</w:t>
      </w:r>
    </w:p>
    <w:p w14:paraId="5AF28F32" w14:textId="77777777" w:rsidR="00D63F71" w:rsidRDefault="005D0DE9">
      <w:pPr>
        <w:pStyle w:val="Default"/>
        <w:rPr>
          <w:rFonts w:ascii="宋体" w:hAnsi="宋体" w:cs="宋体"/>
          <w:sz w:val="22"/>
          <w:szCs w:val="22"/>
        </w:rPr>
      </w:pPr>
      <w:r>
        <w:rPr>
          <w:rFonts w:ascii="Times New Roman" w:hAnsi="Times New Roman"/>
          <w:sz w:val="21"/>
        </w:rPr>
        <w:t>GNU LIBRARY GENERAL PUBLIC LICENSE</w:t>
      </w:r>
      <w:r>
        <w:rPr>
          <w:rFonts w:ascii="Times New Roman" w:hAnsi="Times New Roman"/>
          <w:sz w:val="21"/>
        </w:rPr>
        <w:br/>
      </w:r>
      <w:r>
        <w:rPr>
          <w:rFonts w:ascii="Times New Roman" w:hAnsi="Times New Roman"/>
          <w:sz w:val="21"/>
        </w:rPr>
        <w:br/>
        <w:t>Version 2, June 1991</w:t>
      </w:r>
      <w:r>
        <w:rPr>
          <w:rFonts w:ascii="Times New Roman" w:hAnsi="Times New Roman"/>
          <w:sz w:val="21"/>
        </w:rPr>
        <w:br/>
      </w:r>
      <w:r>
        <w:rPr>
          <w:rFonts w:ascii="Times New Roman" w:hAnsi="Times New Roman"/>
          <w:sz w:val="21"/>
        </w:rPr>
        <w:br/>
        <w:t>Copyright (C) 1991 Free Software Foundation, Inc.</w:t>
      </w:r>
      <w:r>
        <w:rPr>
          <w:rFonts w:ascii="Times New Roman" w:hAnsi="Times New Roman"/>
          <w:sz w:val="21"/>
        </w:rPr>
        <w:br/>
        <w:t>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[This is the first released version of the library GPL. It is numbered 2 because it goes with version 2 of the ordinary GPL.]</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Pr>
          <w:rFonts w:ascii="Times New Roman" w:hAnsi="Times New Roman"/>
          <w:sz w:val="21"/>
        </w:rPr>
        <w:br/>
      </w:r>
      <w:r>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Pr>
          <w:rFonts w:ascii="Times New Roman" w:hAnsi="Times New Roman"/>
          <w:sz w:val="21"/>
        </w:rPr>
        <w:br/>
      </w:r>
      <w:r>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Pr>
          <w:rFonts w:ascii="Times New Roman" w:hAnsi="Times New Roman"/>
          <w:sz w:val="21"/>
        </w:rPr>
        <w:br/>
      </w:r>
      <w:r>
        <w:rPr>
          <w:rFonts w:ascii="Times New Roman" w:hAnsi="Times New Roman"/>
          <w:sz w:val="21"/>
        </w:rPr>
        <w:br/>
        <w:t xml:space="preserve">Our method of protecting your rights has two steps: (1) copyright the library, and (2) offer you this license which </w:t>
      </w:r>
      <w:r>
        <w:rPr>
          <w:rFonts w:ascii="Times New Roman" w:hAnsi="Times New Roman"/>
          <w:sz w:val="21"/>
        </w:rPr>
        <w:lastRenderedPageBreak/>
        <w:t>gives you legal permission to copy, distribute and/or modify the library.</w:t>
      </w:r>
      <w:r>
        <w:rPr>
          <w:rFonts w:ascii="Times New Roman" w:hAnsi="Times New Roman"/>
          <w:sz w:val="21"/>
        </w:rPr>
        <w:br/>
      </w:r>
      <w:r>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Pr>
          <w:rFonts w:ascii="Times New Roman" w:hAnsi="Times New Roman"/>
          <w:sz w:val="21"/>
        </w:rPr>
        <w:br/>
      </w:r>
      <w:r>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Pr>
          <w:rFonts w:ascii="Times New Roman" w:hAnsi="Times New Roman"/>
          <w:sz w:val="21"/>
        </w:rPr>
        <w:br/>
      </w:r>
      <w:r>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Pr>
          <w:rFonts w:ascii="Times New Roman" w:hAnsi="Times New Roman"/>
          <w:sz w:val="21"/>
        </w:rPr>
        <w:br/>
      </w:r>
      <w:r>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Pr>
          <w:rFonts w:ascii="Times New Roman" w:hAnsi="Times New Roman"/>
          <w:sz w:val="21"/>
        </w:rPr>
        <w:br/>
      </w:r>
      <w:r>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Pr>
          <w:rFonts w:ascii="Times New Roman" w:hAnsi="Times New Roman"/>
          <w:sz w:val="21"/>
        </w:rPr>
        <w:br/>
      </w:r>
      <w:r>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Pr>
          <w:rFonts w:ascii="Times New Roman" w:hAnsi="Times New Roman"/>
          <w:sz w:val="21"/>
        </w:rPr>
        <w:br/>
      </w:r>
      <w:r>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Pr>
          <w:rFonts w:ascii="Times New Roman" w:hAnsi="Times New Roman"/>
          <w:sz w:val="21"/>
        </w:rPr>
        <w:br/>
      </w:r>
      <w:r>
        <w:rPr>
          <w:rFonts w:ascii="Times New Roman" w:hAnsi="Times New Roman"/>
          <w:sz w:val="21"/>
        </w:rPr>
        <w:br/>
        <w:t>Note that it is possible for a library to be covered by the ordinary General Public License rather than by this special one.</w:t>
      </w:r>
      <w:r>
        <w:rPr>
          <w:rFonts w:ascii="Times New Roman" w:hAnsi="Times New Roman"/>
          <w:sz w:val="21"/>
        </w:rPr>
        <w:br/>
      </w:r>
      <w:r>
        <w:rPr>
          <w:rFonts w:ascii="Times New Roman" w:hAnsi="Times New Roman"/>
          <w:sz w:val="21"/>
        </w:rPr>
        <w:br/>
        <w:t>TERMS AND CONDITIONS FOR COPYING, DISTRIBUTION AND MODIFICATION</w:t>
      </w:r>
      <w:r>
        <w:rPr>
          <w:rFonts w:ascii="Times New Roman" w:hAnsi="Times New Roman"/>
          <w:sz w:val="21"/>
        </w:rPr>
        <w:br/>
      </w:r>
      <w:r>
        <w:rPr>
          <w:rFonts w:ascii="Times New Roman" w:hAnsi="Times New Roman"/>
          <w:sz w:val="21"/>
        </w:rPr>
        <w:lastRenderedPageBreak/>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Pr>
          <w:rFonts w:ascii="Times New Roman" w:hAnsi="Times New Roman"/>
          <w:sz w:val="21"/>
        </w:rPr>
        <w:br/>
      </w:r>
      <w:r>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Pr>
          <w:rFonts w:ascii="Times New Roman" w:hAnsi="Times New Roman"/>
          <w:sz w:val="21"/>
        </w:rPr>
        <w:br/>
      </w:r>
      <w:r>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Pr>
          <w:rFonts w:ascii="Times New Roman" w:hAnsi="Times New Roman"/>
          <w:sz w:val="21"/>
        </w:rPr>
        <w:br/>
      </w:r>
      <w:r>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Pr>
          <w:rFonts w:ascii="Times New Roman" w:hAnsi="Times New Roman"/>
          <w:sz w:val="21"/>
        </w:rPr>
        <w:br/>
      </w:r>
      <w:r>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Pr>
          <w:rFonts w:ascii="Times New Roman" w:hAnsi="Times New Roman"/>
          <w:sz w:val="21"/>
        </w:rPr>
        <w:br/>
        <w:t>You may charge a fee for the physical act of transferring a copy, and you may at your option offer warranty protection in exchange for a fee.</w:t>
      </w:r>
      <w:r>
        <w:rPr>
          <w:rFonts w:ascii="Times New Roman" w:hAnsi="Times New Roman"/>
          <w:sz w:val="21"/>
        </w:rPr>
        <w:br/>
      </w:r>
      <w:r>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Pr>
          <w:rFonts w:ascii="Times New Roman" w:hAnsi="Times New Roman"/>
          <w:sz w:val="21"/>
        </w:rPr>
        <w:br/>
        <w:t>a) The modified work must itself be a software library.</w:t>
      </w:r>
      <w:r>
        <w:rPr>
          <w:rFonts w:ascii="Times New Roman" w:hAnsi="Times New Roman"/>
          <w:sz w:val="21"/>
        </w:rPr>
        <w:br/>
        <w:t>b) You must cause the files modified to carry prominent notices stating that you changed the files and the date of any change.</w:t>
      </w:r>
      <w:r>
        <w:rPr>
          <w:rFonts w:ascii="Times New Roman" w:hAnsi="Times New Roman"/>
          <w:sz w:val="21"/>
        </w:rPr>
        <w:br/>
        <w:t>c) You must cause the whole of the work to be licensed at no charge to all third parties under the terms of this License.</w:t>
      </w:r>
      <w:r>
        <w:rPr>
          <w:rFonts w:ascii="Times New Roman" w:hAnsi="Times New Roman"/>
          <w:sz w:val="21"/>
        </w:rPr>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r>
        <w:rPr>
          <w:rFonts w:ascii="Times New Roman" w:hAnsi="Times New Roman"/>
          <w:sz w:val="21"/>
        </w:rPr>
        <w:br/>
        <w:t xml:space="preserve">(For example, a function in a library to compute square roots has a purpose that is entirely well-defined </w:t>
      </w:r>
      <w:r>
        <w:rPr>
          <w:rFonts w:ascii="Times New Roman" w:hAnsi="Times New Roman"/>
          <w:sz w:val="21"/>
        </w:rPr>
        <w:lastRenderedPageBreak/>
        <w:t>independent of the application. Therefore, Subsection 2d requires that any application-supplied function or table used by this function must be optional: if the application does not supply it, the square root function must still compute square roots.)</w:t>
      </w:r>
      <w:r>
        <w:rPr>
          <w:rFonts w:ascii="Times New Roman" w:hAnsi="Times New Roman"/>
          <w:sz w:val="21"/>
        </w:rPr>
        <w:br/>
      </w:r>
      <w:r>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Pr>
          <w:rFonts w:ascii="Times New Roman" w:hAnsi="Times New Roman"/>
          <w:sz w:val="21"/>
        </w:rPr>
        <w:br/>
      </w:r>
      <w:r>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Pr>
          <w:rFonts w:ascii="Times New Roman" w:hAnsi="Times New Roman"/>
          <w:sz w:val="21"/>
        </w:rPr>
        <w:br/>
      </w:r>
      <w:r>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Pr>
          <w:rFonts w:ascii="Times New Roman" w:hAnsi="Times New Roman"/>
          <w:sz w:val="21"/>
        </w:rPr>
        <w:br/>
      </w:r>
      <w:r>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Pr>
          <w:rFonts w:ascii="Times New Roman" w:hAnsi="Times New Roman"/>
          <w:sz w:val="21"/>
        </w:rPr>
        <w:br/>
      </w:r>
      <w:r>
        <w:rPr>
          <w:rFonts w:ascii="Times New Roman" w:hAnsi="Times New Roman"/>
          <w:sz w:val="21"/>
        </w:rPr>
        <w:br/>
        <w:t>This option is useful when you wish to copy part of the code of the Library into a program that is not a library.</w:t>
      </w:r>
      <w:r>
        <w:rPr>
          <w:rFonts w:ascii="Times New Roman" w:hAnsi="Times New Roman"/>
          <w:sz w:val="21"/>
        </w:rPr>
        <w:br/>
      </w:r>
      <w:r>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Pr>
          <w:rFonts w:ascii="Times New Roman" w:hAnsi="Times New Roman"/>
          <w:sz w:val="21"/>
        </w:rPr>
        <w:br/>
      </w:r>
      <w:r>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Pr>
          <w:rFonts w:ascii="Times New Roman" w:hAnsi="Times New Roman"/>
          <w:sz w:val="21"/>
        </w:rPr>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r>
        <w:rPr>
          <w:rFonts w:ascii="Times New Roman" w:hAnsi="Times New Roman"/>
          <w:sz w:val="21"/>
        </w:rPr>
        <w:br/>
      </w:r>
      <w:r>
        <w:rPr>
          <w:rFonts w:ascii="Times New Roman" w:hAnsi="Times New Roman"/>
          <w:sz w:val="21"/>
        </w:rPr>
        <w:lastRenderedPageBreak/>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Pr>
          <w:rFonts w:ascii="Times New Roman" w:hAnsi="Times New Roman"/>
          <w:sz w:val="21"/>
        </w:rPr>
        <w:br/>
      </w:r>
      <w:r>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Pr>
          <w:rFonts w:ascii="Times New Roman" w:hAnsi="Times New Roman"/>
          <w:sz w:val="21"/>
        </w:rPr>
        <w:br/>
      </w:r>
      <w:r>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Pr>
          <w:rFonts w:ascii="Times New Roman" w:hAnsi="Times New Roman"/>
          <w:sz w:val="21"/>
        </w:rPr>
        <w:br/>
      </w:r>
      <w:r>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Pr>
          <w:rFonts w:ascii="Times New Roman" w:hAnsi="Times New Roman"/>
          <w:sz w:val="21"/>
        </w:rPr>
        <w:br/>
      </w:r>
      <w:r>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Pr>
          <w:rFonts w:ascii="Times New Roman" w:hAnsi="Times New Roman"/>
          <w:sz w:val="21"/>
        </w:rPr>
        <w:br/>
        <w:t>c) If distribution of the work is made by offering access to copy from a designated place, offer equivalent access to copy the above specified materials from the same place.</w:t>
      </w:r>
      <w:r>
        <w:rPr>
          <w:rFonts w:ascii="Times New Roman" w:hAnsi="Times New Roman"/>
          <w:sz w:val="21"/>
        </w:rPr>
        <w:br/>
        <w:t>d) Verify that the user has already received a copy of these materials or that you have already sent this user a copy.</w:t>
      </w:r>
      <w:r>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Pr>
          <w:rFonts w:ascii="Times New Roman" w:hAnsi="Times New Roman"/>
          <w:sz w:val="21"/>
        </w:rPr>
        <w:br/>
      </w:r>
      <w:r>
        <w:rPr>
          <w:rFonts w:ascii="Times New Roman" w:hAnsi="Times New Roman"/>
          <w:sz w:val="21"/>
        </w:rPr>
        <w:br/>
        <w:t xml:space="preserve">It may happen that this requirement contradicts the license restrictions of other proprietary libraries that do not </w:t>
      </w:r>
      <w:r>
        <w:rPr>
          <w:rFonts w:ascii="Times New Roman" w:hAnsi="Times New Roman"/>
          <w:sz w:val="21"/>
        </w:rPr>
        <w:lastRenderedPageBreak/>
        <w:t>normally accompany the operating system. Such a contradiction means you cannot use both them and the Library together in an executable that you distribute.</w:t>
      </w:r>
      <w:r>
        <w:rPr>
          <w:rFonts w:ascii="Times New Roman" w:hAnsi="Times New Roman"/>
          <w:sz w:val="21"/>
        </w:rPr>
        <w:br/>
      </w:r>
      <w:r>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Pr>
          <w:rFonts w:ascii="Times New Roman" w:hAnsi="Times New Roman"/>
          <w:sz w:val="21"/>
        </w:rPr>
        <w:br/>
        <w:t>b) Give prominent notice with the combined library of the fact that part of it is a work based on the Library, and explaining where to find the accompanying uncombined form of the same work.</w:t>
      </w:r>
      <w:r>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Pr>
          <w:rFonts w:ascii="Times New Roman" w:hAnsi="Times New Roman"/>
          <w:sz w:val="21"/>
        </w:rPr>
        <w:br/>
      </w:r>
      <w:r>
        <w:rPr>
          <w:rFonts w:ascii="Times New Roman" w:hAnsi="Times New Roman"/>
          <w:sz w:val="21"/>
        </w:rP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r>
        <w:rPr>
          <w:rFonts w:ascii="Times New Roman" w:hAnsi="Times New Roman"/>
          <w:sz w:val="21"/>
        </w:rPr>
        <w:br/>
      </w:r>
      <w:r>
        <w:rPr>
          <w:rFonts w:ascii="Times New Roman" w:hAnsi="Times New Roman"/>
          <w:sz w:val="21"/>
        </w:rPr>
        <w:br/>
      </w:r>
      <w:r>
        <w:rPr>
          <w:rFonts w:ascii="Times New Roman" w:hAnsi="Times New Roman"/>
          <w:sz w:val="21"/>
        </w:rPr>
        <w:lastRenderedPageBreak/>
        <w:t>This section is intended to make thoroughly clear what is believed to be a consequence of the rest of this License.</w:t>
      </w:r>
      <w:r>
        <w:rPr>
          <w:rFonts w:ascii="Times New Roman" w:hAnsi="Times New Roman"/>
          <w:sz w:val="21"/>
        </w:rPr>
        <w:br/>
      </w:r>
      <w:r>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Pr>
          <w:rFonts w:ascii="Times New Roman" w:hAnsi="Times New Roman"/>
          <w:sz w:val="21"/>
        </w:rPr>
        <w:br/>
      </w:r>
      <w:r>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Libraries</w:t>
      </w:r>
      <w:r>
        <w:rPr>
          <w:rFonts w:ascii="Times New Roman" w:hAnsi="Times New Roman"/>
          <w:sz w:val="21"/>
        </w:rPr>
        <w:br/>
      </w:r>
      <w:r>
        <w:rPr>
          <w:rFonts w:ascii="Times New Roman" w:hAnsi="Times New Roman"/>
          <w:sz w:val="21"/>
        </w:rPr>
        <w:br/>
        <w:t xml:space="preserve">If you develop a new library, and you want it to be of the greatest possible use to the public, we recommend </w:t>
      </w:r>
      <w:r>
        <w:rPr>
          <w:rFonts w:ascii="Times New Roman" w:hAnsi="Times New Roman"/>
          <w:sz w:val="21"/>
        </w:rPr>
        <w:lastRenderedPageBreak/>
        <w:t>making it free software that everyone can redistribute and change. You can do so by permitting redistribution under these terms (or, alternatively, under the terms of the ordinary General Public License).</w:t>
      </w:r>
      <w:r>
        <w:rPr>
          <w:rFonts w:ascii="Times New Roman" w:hAnsi="Times New Roman"/>
          <w:sz w:val="21"/>
        </w:rPr>
        <w:br/>
      </w:r>
      <w:r>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one line to give the library's name and an idea of what it does.</w:t>
      </w:r>
      <w:r>
        <w:rPr>
          <w:rFonts w:ascii="Times New Roman" w:hAnsi="Times New Roman"/>
          <w:sz w:val="21"/>
        </w:rPr>
        <w:br/>
        <w:t>Copyright (C) year name of author</w:t>
      </w:r>
      <w:r>
        <w:rPr>
          <w:rFonts w:ascii="Times New Roman" w:hAnsi="Times New Roman"/>
          <w:sz w:val="21"/>
        </w:rPr>
        <w:br/>
      </w:r>
      <w:r>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Pr>
          <w:rFonts w:ascii="Times New Roman" w:hAnsi="Times New Roman"/>
          <w:sz w:val="21"/>
        </w:rPr>
        <w:br/>
      </w:r>
      <w:r>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Pr>
          <w:rFonts w:ascii="Times New Roman" w:hAnsi="Times New Roman"/>
          <w:sz w:val="21"/>
        </w:rPr>
        <w:br/>
      </w:r>
      <w:r>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library, if necessary. Here is a sample; alter the names:</w:t>
      </w:r>
      <w:r>
        <w:rPr>
          <w:rFonts w:ascii="Times New Roman" w:hAnsi="Times New Roman"/>
          <w:sz w:val="21"/>
        </w:rPr>
        <w:br/>
      </w:r>
      <w:r>
        <w:rPr>
          <w:rFonts w:ascii="Times New Roman" w:hAnsi="Times New Roman"/>
          <w:sz w:val="21"/>
        </w:rPr>
        <w:br/>
        <w:t>Yoyodyne, Inc., hereby disclaims all copyright interest in</w:t>
      </w:r>
      <w:r>
        <w:rPr>
          <w:rFonts w:ascii="Times New Roman" w:hAnsi="Times New Roman"/>
          <w:sz w:val="21"/>
        </w:rPr>
        <w:br/>
        <w:t>the library `Frob' (a library for tweaking knobs) written</w:t>
      </w:r>
      <w:r>
        <w:rPr>
          <w:rFonts w:ascii="Times New Roman" w:hAnsi="Times New Roman"/>
          <w:sz w:val="21"/>
        </w:rPr>
        <w:br/>
        <w:t>by James Random Hacker.</w:t>
      </w:r>
      <w:r>
        <w:rPr>
          <w:rFonts w:ascii="Times New Roman" w:hAnsi="Times New Roman"/>
          <w:sz w:val="21"/>
        </w:rPr>
        <w:br/>
      </w:r>
      <w:r>
        <w:rPr>
          <w:rFonts w:ascii="Times New Roman" w:hAnsi="Times New Roman"/>
          <w:sz w:val="21"/>
        </w:rPr>
        <w:br/>
        <w:t>signature of Ty Coon, 1 April 1990</w:t>
      </w:r>
      <w:r>
        <w:rPr>
          <w:rFonts w:ascii="Times New Roman" w:hAnsi="Times New Roman"/>
          <w:sz w:val="21"/>
        </w:rPr>
        <w:br/>
        <w:t>Ty Coon, President of Vice</w:t>
      </w:r>
      <w:r>
        <w:rPr>
          <w:rFonts w:ascii="Times New Roman" w:hAnsi="Times New Roman"/>
          <w:sz w:val="21"/>
        </w:rPr>
        <w:br/>
      </w:r>
      <w:r>
        <w:rPr>
          <w:rFonts w:ascii="Times New Roman" w:hAnsi="Times New Roman"/>
          <w:sz w:val="21"/>
        </w:rPr>
        <w:br/>
        <w:t>That's all there is to it!</w:t>
      </w:r>
    </w:p>
    <w:p w14:paraId="266C4C0E"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23AE753A"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6D3F820"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3CE2DD75"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67BF6" w14:textId="77777777" w:rsidR="00BB3C88" w:rsidRDefault="00BB3C88">
      <w:pPr>
        <w:spacing w:line="240" w:lineRule="auto"/>
      </w:pPr>
      <w:r>
        <w:separator/>
      </w:r>
    </w:p>
  </w:endnote>
  <w:endnote w:type="continuationSeparator" w:id="0">
    <w:p w14:paraId="78594A33" w14:textId="77777777" w:rsidR="00BB3C88" w:rsidRDefault="00BB3C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21B759CB" w14:textId="77777777">
      <w:tc>
        <w:tcPr>
          <w:tcW w:w="1542" w:type="pct"/>
        </w:tcPr>
        <w:p w14:paraId="38F95A3F" w14:textId="77777777" w:rsidR="00D63F71" w:rsidRDefault="005D0DE9">
          <w:pPr>
            <w:pStyle w:val="a8"/>
          </w:pPr>
          <w:r>
            <w:fldChar w:fldCharType="begin"/>
          </w:r>
          <w:r>
            <w:instrText xml:space="preserve"> DATE \@ "yyyy-MM-dd" </w:instrText>
          </w:r>
          <w:r>
            <w:fldChar w:fldCharType="separate"/>
          </w:r>
          <w:r w:rsidR="00923D0B">
            <w:rPr>
              <w:noProof/>
            </w:rPr>
            <w:t>2024-05-16</w:t>
          </w:r>
          <w:r>
            <w:fldChar w:fldCharType="end"/>
          </w:r>
        </w:p>
      </w:tc>
      <w:tc>
        <w:tcPr>
          <w:tcW w:w="1853" w:type="pct"/>
        </w:tcPr>
        <w:p w14:paraId="5107E4D3" w14:textId="77777777" w:rsidR="00D63F71" w:rsidRDefault="00D63F71">
          <w:pPr>
            <w:pStyle w:val="a8"/>
            <w:ind w:firstLineChars="200" w:firstLine="360"/>
          </w:pPr>
        </w:p>
      </w:tc>
      <w:tc>
        <w:tcPr>
          <w:tcW w:w="1605" w:type="pct"/>
        </w:tcPr>
        <w:p w14:paraId="36E2467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BB3C88">
            <w:fldChar w:fldCharType="begin"/>
          </w:r>
          <w:r w:rsidR="00BB3C88">
            <w:instrText xml:space="preserve"> NUMPAGES  \* Arabic  \* MERGEFORMAT </w:instrText>
          </w:r>
          <w:r w:rsidR="00BB3C88">
            <w:fldChar w:fldCharType="separate"/>
          </w:r>
          <w:r w:rsidR="00B93B3B">
            <w:rPr>
              <w:noProof/>
            </w:rPr>
            <w:t>1</w:t>
          </w:r>
          <w:r w:rsidR="00BB3C88">
            <w:rPr>
              <w:noProof/>
            </w:rPr>
            <w:fldChar w:fldCharType="end"/>
          </w:r>
        </w:p>
      </w:tc>
    </w:tr>
  </w:tbl>
  <w:p w14:paraId="11FC8A8E"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3DE5E7" w14:textId="77777777" w:rsidR="00BB3C88" w:rsidRDefault="00BB3C88">
      <w:r>
        <w:separator/>
      </w:r>
    </w:p>
  </w:footnote>
  <w:footnote w:type="continuationSeparator" w:id="0">
    <w:p w14:paraId="174DAC01" w14:textId="77777777" w:rsidR="00BB3C88" w:rsidRDefault="00BB3C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7F50A47" w14:textId="77777777">
      <w:trPr>
        <w:cantSplit/>
        <w:trHeight w:hRule="exact" w:val="777"/>
      </w:trPr>
      <w:tc>
        <w:tcPr>
          <w:tcW w:w="492" w:type="pct"/>
          <w:tcBorders>
            <w:bottom w:val="single" w:sz="6" w:space="0" w:color="auto"/>
          </w:tcBorders>
        </w:tcPr>
        <w:p w14:paraId="460B3A3F" w14:textId="77777777" w:rsidR="00D63F71" w:rsidRDefault="00D63F71">
          <w:pPr>
            <w:pStyle w:val="a9"/>
          </w:pPr>
        </w:p>
        <w:p w14:paraId="37C66E1C" w14:textId="77777777" w:rsidR="00D63F71" w:rsidRDefault="00D63F71">
          <w:pPr>
            <w:ind w:left="420"/>
          </w:pPr>
        </w:p>
      </w:tc>
      <w:tc>
        <w:tcPr>
          <w:tcW w:w="3283" w:type="pct"/>
          <w:tcBorders>
            <w:bottom w:val="single" w:sz="6" w:space="0" w:color="auto"/>
          </w:tcBorders>
          <w:vAlign w:val="bottom"/>
        </w:tcPr>
        <w:p w14:paraId="527AFF3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39EA38C" w14:textId="77777777" w:rsidR="00D63F71" w:rsidRDefault="00D63F71">
          <w:pPr>
            <w:pStyle w:val="a9"/>
            <w:ind w:firstLine="33"/>
          </w:pPr>
        </w:p>
      </w:tc>
    </w:tr>
  </w:tbl>
  <w:p w14:paraId="5E980628"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3D0B"/>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3C88"/>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0CD43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4136</Words>
  <Characters>23579</Characters>
  <Application>Microsoft Office Word</Application>
  <DocSecurity>0</DocSecurity>
  <Lines>196</Lines>
  <Paragraphs>55</Paragraphs>
  <ScaleCrop>false</ScaleCrop>
  <Company>Huawei Technologies Co.,Ltd.</Company>
  <LinksUpToDate>false</LinksUpToDate>
  <CharactersWithSpaces>27660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王歌</cp:lastModifiedBy>
  <cp:revision>7</cp:revision>
  <dcterms:created xsi:type="dcterms:W3CDTF">2021-09-28T13:54:00Z</dcterms:created>
  <dcterms:modified xsi:type="dcterms:W3CDTF">2024-05-16T08:34:00Z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(3)zgpFreNEAoS1/23oo4kVKWFuKfz5vuHevh905P3vyCggRhsbj7HfYm48ZUPqV+wxKSXCkjZ9
ixmjs3ogRZVWNb2tKsrIHGypIOM09Z2e8vDZI12sPtmok2QKlT1XoNXiQ51+ULIumO19fn7d
FuAJvAaLQ8uGI5gBBlCj6OKG+bytxyT/lqN5zduMxAzclLF5keDr2WP7bd9y4CEwBa2hYf4i
vP85f+Gk0kI2kNLz2s</vt:lpwstr>
  </property>
  <property fmtid="{D5CDD505-2E9C-101B-9397-08002B2CF9AE}" pid="11" name="_2015_ms_pID_7253431">
    <vt:lpwstr>+3TLqRFd46VMqFy2KznY92iXE/UCoL+wZSG7nqoF52dUg/HJLryGwl
LLUG7sE303aFOSWY8bDUh/YZh+vKb68PAOn7PQkYWp5bhOXwfcxW0qZSoofSVOfojBjvD8EO
bah5FX+RxsoxE2IhenkCwJpLSmF2ee4HPpSCEXyAIU+CzEd/AerUAt+Bz2LXa8hUgLpibS05
ckmYIgl8ICJ62k7eoh+GaphFXdwGx9ZWkaDg</vt:lpwstr>
  </property>
  <property fmtid="{D5CDD505-2E9C-101B-9397-08002B2CF9AE}" pid="12" name="_2015_ms_pID_7253432">
    <vt:lpwstr>607nV8NfxRBOPJVGqoDPQ5H4bi8Cf7PBl9kU
aMLyUwfb4+FmAwEF+kCEAmOrK1zKNr0f3HkyS6mwH4bYlOPB5ZU=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