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078EE"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3DC1F13" w14:textId="77777777" w:rsidR="00D63F71" w:rsidRDefault="00D63F71">
      <w:pPr>
        <w:spacing w:line="420" w:lineRule="exact"/>
        <w:jc w:val="center"/>
        <w:rPr>
          <w:rFonts w:ascii="Arial" w:hAnsi="Arial" w:cs="Arial"/>
          <w:b/>
          <w:snapToGrid/>
          <w:sz w:val="32"/>
          <w:szCs w:val="32"/>
        </w:rPr>
      </w:pPr>
    </w:p>
    <w:p w14:paraId="1EA0E2DD"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D2BEC4A" w14:textId="77777777" w:rsidR="00B93B3B" w:rsidRPr="00B93B3B" w:rsidRDefault="00B93B3B" w:rsidP="00B93B3B">
      <w:pPr>
        <w:spacing w:line="420" w:lineRule="exact"/>
        <w:jc w:val="both"/>
        <w:rPr>
          <w:rFonts w:ascii="Arial" w:hAnsi="Arial" w:cs="Arial"/>
          <w:snapToGrid/>
        </w:rPr>
      </w:pPr>
    </w:p>
    <w:p w14:paraId="3914889B"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3C98536"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5085FD4" w14:textId="77777777" w:rsidR="00D63F71" w:rsidRDefault="00D63F71">
      <w:pPr>
        <w:spacing w:line="420" w:lineRule="exact"/>
        <w:jc w:val="both"/>
        <w:rPr>
          <w:rFonts w:ascii="Arial" w:hAnsi="Arial" w:cs="Arial"/>
          <w:i/>
          <w:snapToGrid/>
          <w:color w:val="0099FF"/>
          <w:sz w:val="18"/>
          <w:szCs w:val="18"/>
        </w:rPr>
      </w:pPr>
    </w:p>
    <w:p w14:paraId="6D51217A"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C7E40E0" w14:textId="77777777" w:rsidR="00D63F71" w:rsidRDefault="00D63F71">
      <w:pPr>
        <w:pStyle w:val="aa"/>
        <w:spacing w:before="0" w:after="0" w:line="240" w:lineRule="auto"/>
        <w:jc w:val="left"/>
        <w:rPr>
          <w:rFonts w:ascii="Arial" w:hAnsi="Arial" w:cs="Arial"/>
          <w:bCs w:val="0"/>
          <w:sz w:val="21"/>
          <w:szCs w:val="21"/>
        </w:rPr>
      </w:pPr>
    </w:p>
    <w:p w14:paraId="728BBF71" w14:textId="32E2B945"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EC2B95" w:rsidRPr="00EC2B95">
        <w:rPr>
          <w:rFonts w:ascii="微软雅黑" w:hAnsi="微软雅黑"/>
          <w:b w:val="0"/>
          <w:sz w:val="21"/>
        </w:rPr>
        <w:t>kldap</w:t>
      </w:r>
      <w:r>
        <w:rPr>
          <w:rFonts w:ascii="微软雅黑" w:hAnsi="微软雅黑"/>
          <w:b w:val="0"/>
          <w:sz w:val="21"/>
        </w:rPr>
        <w:t xml:space="preserve"> 23.08.4</w:t>
      </w:r>
    </w:p>
    <w:p w14:paraId="763C4BBB" w14:textId="77777777" w:rsidR="00D63F71" w:rsidRDefault="005D0DE9">
      <w:pPr>
        <w:rPr>
          <w:rFonts w:ascii="Arial" w:hAnsi="Arial" w:cs="Arial"/>
          <w:b/>
        </w:rPr>
      </w:pPr>
      <w:r>
        <w:rPr>
          <w:rFonts w:ascii="Arial" w:hAnsi="Arial" w:cs="Arial"/>
          <w:b/>
        </w:rPr>
        <w:t xml:space="preserve">Copyright notice: </w:t>
      </w:r>
    </w:p>
    <w:p w14:paraId="0232448A" w14:textId="2E4338AA" w:rsidR="00D63F71" w:rsidRDefault="005D0DE9">
      <w:pPr>
        <w:pStyle w:val="Default"/>
        <w:rPr>
          <w:rFonts w:ascii="宋体" w:hAnsi="宋体" w:cs="宋体"/>
          <w:sz w:val="22"/>
          <w:szCs w:val="22"/>
        </w:rPr>
      </w:pPr>
      <w:r>
        <w:rPr>
          <w:rFonts w:ascii="宋体" w:hAnsi="宋体"/>
          <w:sz w:val="22"/>
        </w:rPr>
        <w:t>SPDX-FileCopyrightText: 2021-2023 Laurent Montel &lt;montel@kde.org&gt;</w:t>
      </w:r>
      <w:r>
        <w:rPr>
          <w:rFonts w:ascii="宋体" w:hAnsi="宋体"/>
          <w:sz w:val="22"/>
        </w:rPr>
        <w:br/>
        <w:t>SPDX-FileCopyrightText: 2019-2023 Laurent Montel &lt;montel@kde.org&gt;</w:t>
      </w:r>
      <w:r>
        <w:rPr>
          <w:rFonts w:ascii="宋体" w:hAnsi="宋体"/>
          <w:sz w:val="22"/>
        </w:rPr>
        <w:br/>
        <w:t>SPDX-FileCopyrightText: 2002 Klarälvdalens Datakonsult AB SPDX-FileContributor: Steffen Hansen &lt;hansen@kde.org&gt;</w:t>
      </w:r>
      <w:r>
        <w:rPr>
          <w:rFonts w:ascii="宋体" w:hAnsi="宋体"/>
          <w:sz w:val="22"/>
        </w:rPr>
        <w:br/>
        <w:t>Copyright (C) 1991 Free Software Foundation, Inc.</w:t>
      </w:r>
      <w:r>
        <w:rPr>
          <w:rFonts w:ascii="宋体" w:hAnsi="宋体"/>
          <w:sz w:val="22"/>
        </w:rPr>
        <w:br/>
        <w:t>SPDX-FileCopyrightText: 2004-2006 Szombathelyi György &lt;gyurco@freemail.hu&gt;</w:t>
      </w:r>
      <w:r>
        <w:rPr>
          <w:rFonts w:ascii="宋体" w:hAnsi="宋体"/>
          <w:sz w:val="22"/>
        </w:rPr>
        <w:br/>
        <w:t>SPDX-FileCopyrightText: 2002-2010 Tobias Koenig &lt;tokoe@kde.org&gt;</w:t>
      </w:r>
      <w:r>
        <w:rPr>
          <w:rFonts w:ascii="宋体" w:hAnsi="宋体"/>
          <w:sz w:val="22"/>
        </w:rPr>
        <w:br/>
        <w:t>SPDX-FileCopyrightText: 2007-2023 Laurent Montel &lt;montel@kde.org&gt;</w:t>
      </w:r>
      <w:r>
        <w:rPr>
          <w:rFonts w:ascii="宋体" w:hAnsi="宋体"/>
          <w:sz w:val="22"/>
        </w:rPr>
        <w:br/>
        <w:t>SPDX-FileCopyrightText: 2020-2023 Laurent Montel &lt;montel@kde.org&gt;</w:t>
      </w:r>
      <w:r>
        <w:rPr>
          <w:rFonts w:ascii="宋体" w:hAnsi="宋体"/>
          <w:sz w:val="22"/>
        </w:rPr>
        <w:br/>
        <w:t>SPDX-FileCopyrightText: 2004-2007 Szombathelyi György &lt;gyurco@freemail.hu&gt;</w:t>
      </w:r>
      <w:r>
        <w:rPr>
          <w:rFonts w:ascii="宋体" w:hAnsi="宋体"/>
          <w:sz w:val="22"/>
        </w:rPr>
        <w:br/>
        <w:t>SPDX-FileCopyrightText: 2013-2023 Laurent Montel &lt;montel@kde.org&gt;</w:t>
      </w:r>
      <w:r>
        <w:rPr>
          <w:rFonts w:ascii="宋体" w:hAnsi="宋体"/>
          <w:sz w:val="22"/>
        </w:rPr>
        <w:br/>
        <w:t>SPDX-FileCopyrightText: 2004 Tobias Koenig &lt;tokoe@kde.org&gt;</w:t>
      </w:r>
      <w:r>
        <w:rPr>
          <w:rFonts w:ascii="宋体" w:hAnsi="宋体"/>
          <w:sz w:val="22"/>
        </w:rPr>
        <w:br/>
        <w:t>SPDX-FileCopyrightText: 2010 Andre Heinecke &lt;aheinecke@intevation.de&gt;</w:t>
      </w:r>
      <w:r>
        <w:rPr>
          <w:rFonts w:ascii="宋体" w:hAnsi="宋体"/>
          <w:sz w:val="22"/>
        </w:rPr>
        <w:br/>
        <w:t>SPDX-FileCopyrightText: 2016 Daniel Vrátil &lt;dvratil@kde.org&gt;</w:t>
      </w:r>
      <w:r>
        <w:rPr>
          <w:rFonts w:ascii="宋体" w:hAnsi="宋体"/>
          <w:sz w:val="22"/>
        </w:rPr>
        <w:br/>
        <w:t>SPDX-FileCopyrightText: 2005 David Faure &lt;faure@kde.org&gt;</w:t>
      </w:r>
      <w:r>
        <w:rPr>
          <w:rFonts w:ascii="宋体" w:hAnsi="宋体"/>
          <w:sz w:val="22"/>
        </w:rPr>
        <w:br/>
        <w:t>SPDX-FileCopyrightText: 2006 Volker Krause &lt;vkrause@kde.org&gt;</w:t>
      </w:r>
      <w:r>
        <w:rPr>
          <w:rFonts w:ascii="宋体" w:hAnsi="宋体"/>
          <w:sz w:val="22"/>
        </w:rPr>
        <w:br/>
        <w:t>SPDX-FileCopyrightText: 2022-2023 Laurent Montel &lt;montel@kde.org&gt;</w:t>
      </w:r>
      <w:r>
        <w:rPr>
          <w:rFonts w:ascii="宋体" w:hAnsi="宋体"/>
          <w:sz w:val="22"/>
        </w:rPr>
        <w:br/>
      </w:r>
      <w:r>
        <w:rPr>
          <w:rFonts w:ascii="宋体" w:hAnsi="宋体"/>
          <w:sz w:val="22"/>
        </w:rPr>
        <w:lastRenderedPageBreak/>
        <w:t>SPDX-FileCopyrightText: 2006 Szombathelyi György &lt;gyurco@freemail.hu&gt;</w:t>
      </w:r>
      <w:r>
        <w:rPr>
          <w:rFonts w:ascii="宋体" w:hAnsi="宋体"/>
          <w:sz w:val="22"/>
        </w:rPr>
        <w:br/>
        <w:t>SPDX-FileCopyrightText: 2006 Sean Harmer &lt;sh@theharmers.co.uk&gt;</w:t>
      </w:r>
      <w:r>
        <w:rPr>
          <w:rFonts w:ascii="宋体" w:hAnsi="宋体"/>
          <w:sz w:val="22"/>
        </w:rPr>
        <w:br/>
      </w:r>
    </w:p>
    <w:p w14:paraId="5D7C227F" w14:textId="77777777" w:rsidR="00D63F71" w:rsidRDefault="005D0DE9">
      <w:pPr>
        <w:pStyle w:val="Default"/>
        <w:rPr>
          <w:rFonts w:ascii="宋体" w:hAnsi="宋体" w:cs="宋体"/>
          <w:sz w:val="22"/>
          <w:szCs w:val="22"/>
        </w:rPr>
      </w:pPr>
      <w:r>
        <w:rPr>
          <w:b/>
        </w:rPr>
        <w:t xml:space="preserve">License: </w:t>
      </w:r>
      <w:r>
        <w:rPr>
          <w:sz w:val="21"/>
        </w:rPr>
        <w:t>LGPLv2+</w:t>
      </w:r>
    </w:p>
    <w:p w14:paraId="7E443D19"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 xml:space="preserve">Our method of protecting your rights has two steps: (1) copyright the library, and (2) offer you this license which </w:t>
      </w:r>
      <w:r>
        <w:rPr>
          <w:rFonts w:ascii="Times New Roman" w:hAnsi="Times New Roman"/>
          <w:sz w:val="21"/>
        </w:rPr>
        <w:lastRenderedPageBreak/>
        <w:t>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lastRenderedPageBreak/>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 xml:space="preserve">(For example, a function in a library to compute square roots has a purpose that is entirely well-defined </w:t>
      </w:r>
      <w:r>
        <w:rPr>
          <w:rFonts w:ascii="Times New Roman" w:hAnsi="Times New Roman"/>
          <w:sz w:val="21"/>
        </w:rPr>
        <w:lastRenderedPageBreak/>
        <w:t>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lastRenderedPageBreak/>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 xml:space="preserve">It may happen that this requirement contradicts the license restrictions of other proprietary libraries that do not </w:t>
      </w:r>
      <w:r>
        <w:rPr>
          <w:rFonts w:ascii="Times New Roman" w:hAnsi="Times New Roman"/>
          <w:sz w:val="21"/>
        </w:rPr>
        <w:lastRenderedPageBreak/>
        <w:t>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r>
      <w:r>
        <w:rPr>
          <w:rFonts w:ascii="Times New Roman" w:hAnsi="Times New Roman"/>
          <w:sz w:val="21"/>
        </w:rPr>
        <w:lastRenderedPageBreak/>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 xml:space="preserve">If you develop a new library, and you want it to be of the greatest possible use to the public, we recommend </w:t>
      </w:r>
      <w:r>
        <w:rPr>
          <w:rFonts w:ascii="Times New Roman" w:hAnsi="Times New Roman"/>
          <w:sz w:val="21"/>
        </w:rPr>
        <w:lastRenderedPageBreak/>
        <w:t>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1AE8EC8F"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4C7E2D1"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35566F6"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E5BA8BB"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13092" w14:textId="77777777" w:rsidR="00EF17FA" w:rsidRDefault="00EF17FA">
      <w:pPr>
        <w:spacing w:line="240" w:lineRule="auto"/>
      </w:pPr>
      <w:r>
        <w:separator/>
      </w:r>
    </w:p>
  </w:endnote>
  <w:endnote w:type="continuationSeparator" w:id="0">
    <w:p w14:paraId="4E49E131" w14:textId="77777777" w:rsidR="00EF17FA" w:rsidRDefault="00EF17F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6BC34D7" w14:textId="77777777">
      <w:tc>
        <w:tcPr>
          <w:tcW w:w="1542" w:type="pct"/>
        </w:tcPr>
        <w:p w14:paraId="660469D4" w14:textId="77777777" w:rsidR="00D63F71" w:rsidRDefault="005D0DE9">
          <w:pPr>
            <w:pStyle w:val="a8"/>
          </w:pPr>
          <w:r>
            <w:fldChar w:fldCharType="begin"/>
          </w:r>
          <w:r>
            <w:instrText xml:space="preserve"> DATE \@ "yyyy-MM-dd" </w:instrText>
          </w:r>
          <w:r>
            <w:fldChar w:fldCharType="separate"/>
          </w:r>
          <w:r w:rsidR="00EC2B95">
            <w:rPr>
              <w:noProof/>
            </w:rPr>
            <w:t>2024-05-16</w:t>
          </w:r>
          <w:r>
            <w:fldChar w:fldCharType="end"/>
          </w:r>
        </w:p>
      </w:tc>
      <w:tc>
        <w:tcPr>
          <w:tcW w:w="1853" w:type="pct"/>
        </w:tcPr>
        <w:p w14:paraId="525CC953" w14:textId="77777777" w:rsidR="00D63F71" w:rsidRDefault="00D63F71">
          <w:pPr>
            <w:pStyle w:val="a8"/>
            <w:ind w:firstLineChars="200" w:firstLine="360"/>
          </w:pPr>
        </w:p>
      </w:tc>
      <w:tc>
        <w:tcPr>
          <w:tcW w:w="1605" w:type="pct"/>
        </w:tcPr>
        <w:p w14:paraId="4CA450CA"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EF17FA">
            <w:fldChar w:fldCharType="begin"/>
          </w:r>
          <w:r w:rsidR="00EF17FA">
            <w:instrText xml:space="preserve"> NUMPAGES  \* Arabic  \* MERGEFORMAT </w:instrText>
          </w:r>
          <w:r w:rsidR="00EF17FA">
            <w:fldChar w:fldCharType="separate"/>
          </w:r>
          <w:r w:rsidR="00B93B3B">
            <w:rPr>
              <w:noProof/>
            </w:rPr>
            <w:t>1</w:t>
          </w:r>
          <w:r w:rsidR="00EF17FA">
            <w:rPr>
              <w:noProof/>
            </w:rPr>
            <w:fldChar w:fldCharType="end"/>
          </w:r>
        </w:p>
      </w:tc>
    </w:tr>
  </w:tbl>
  <w:p w14:paraId="0D4405AF"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1808D" w14:textId="77777777" w:rsidR="00EF17FA" w:rsidRDefault="00EF17FA">
      <w:r>
        <w:separator/>
      </w:r>
    </w:p>
  </w:footnote>
  <w:footnote w:type="continuationSeparator" w:id="0">
    <w:p w14:paraId="0AB4C536" w14:textId="77777777" w:rsidR="00EF17FA" w:rsidRDefault="00EF17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ED265CE" w14:textId="77777777">
      <w:trPr>
        <w:cantSplit/>
        <w:trHeight w:hRule="exact" w:val="777"/>
      </w:trPr>
      <w:tc>
        <w:tcPr>
          <w:tcW w:w="492" w:type="pct"/>
          <w:tcBorders>
            <w:bottom w:val="single" w:sz="6" w:space="0" w:color="auto"/>
          </w:tcBorders>
        </w:tcPr>
        <w:p w14:paraId="062E56CA" w14:textId="77777777" w:rsidR="00D63F71" w:rsidRDefault="00D63F71">
          <w:pPr>
            <w:pStyle w:val="a9"/>
          </w:pPr>
        </w:p>
        <w:p w14:paraId="3AC439C8" w14:textId="77777777" w:rsidR="00D63F71" w:rsidRDefault="00D63F71">
          <w:pPr>
            <w:ind w:left="420"/>
          </w:pPr>
        </w:p>
      </w:tc>
      <w:tc>
        <w:tcPr>
          <w:tcW w:w="3283" w:type="pct"/>
          <w:tcBorders>
            <w:bottom w:val="single" w:sz="6" w:space="0" w:color="auto"/>
          </w:tcBorders>
          <w:vAlign w:val="bottom"/>
        </w:tcPr>
        <w:p w14:paraId="14E9828E"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D422D58" w14:textId="77777777" w:rsidR="00D63F71" w:rsidRDefault="00D63F71">
          <w:pPr>
            <w:pStyle w:val="a9"/>
            <w:ind w:firstLine="33"/>
          </w:pPr>
        </w:p>
      </w:tc>
    </w:tr>
  </w:tbl>
  <w:p w14:paraId="78986BB2"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2B95"/>
    <w:rsid w:val="00EC32F2"/>
    <w:rsid w:val="00ED3D67"/>
    <w:rsid w:val="00ED69F2"/>
    <w:rsid w:val="00ED7240"/>
    <w:rsid w:val="00EE1532"/>
    <w:rsid w:val="00EE3F04"/>
    <w:rsid w:val="00EF17FA"/>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F522C2"/>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4120</Words>
  <Characters>23488</Characters>
  <Application>Microsoft Office Word</Application>
  <DocSecurity>0</DocSecurity>
  <Lines>195</Lines>
  <Paragraphs>55</Paragraphs>
  <ScaleCrop>false</ScaleCrop>
  <Company>Huawei Technologies Co.,Ltd.</Company>
  <LinksUpToDate>false</LinksUpToDate>
  <CharactersWithSpaces>27553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2024-05-16T08:24:00Z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