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3A7999" w14:textId="3810BF6A" w:rsidR="007E3CAC" w:rsidRPr="00A716AD" w:rsidRDefault="00470476">
      <w:pPr>
        <w:rPr>
          <w:b/>
          <w:sz w:val="28"/>
        </w:rPr>
      </w:pPr>
      <w:r w:rsidRPr="00923BE1">
        <w:rPr>
          <w:b/>
          <w:sz w:val="32"/>
        </w:rPr>
        <w:t xml:space="preserve">Decision Analysis </w:t>
      </w:r>
      <w:r w:rsidR="00923BE1" w:rsidRPr="00923BE1">
        <w:rPr>
          <w:b/>
          <w:sz w:val="32"/>
        </w:rPr>
        <w:t>Example Problem:</w:t>
      </w:r>
      <w:r w:rsidR="00923BE1" w:rsidRPr="00923BE1">
        <w:rPr>
          <w:b/>
          <w:sz w:val="32"/>
        </w:rPr>
        <w:br/>
      </w:r>
      <w:r w:rsidR="009A6FB3">
        <w:rPr>
          <w:b/>
          <w:sz w:val="28"/>
        </w:rPr>
        <w:t xml:space="preserve">Contaminant </w:t>
      </w:r>
      <w:r w:rsidRPr="00A716AD">
        <w:rPr>
          <w:b/>
          <w:sz w:val="28"/>
        </w:rPr>
        <w:t>Source Te</w:t>
      </w:r>
      <w:r w:rsidR="00647D0F">
        <w:rPr>
          <w:b/>
          <w:sz w:val="28"/>
        </w:rPr>
        <w:t>rmination</w:t>
      </w:r>
    </w:p>
    <w:p w14:paraId="38579DB4" w14:textId="77777777" w:rsidR="00F4469B" w:rsidRDefault="00F4469B"/>
    <w:p w14:paraId="1449C1EF" w14:textId="77777777" w:rsidR="00F4469B" w:rsidRPr="00A716AD" w:rsidRDefault="00F4469B">
      <w:pPr>
        <w:rPr>
          <w:b/>
        </w:rPr>
      </w:pPr>
      <w:r w:rsidRPr="00A716AD">
        <w:rPr>
          <w:b/>
        </w:rPr>
        <w:t>Model setup:</w:t>
      </w:r>
    </w:p>
    <w:p w14:paraId="6CA1A27F" w14:textId="77777777" w:rsidR="00F4469B" w:rsidRDefault="00F4469B">
      <w:r>
        <w:rPr>
          <w:noProof/>
        </w:rPr>
        <w:drawing>
          <wp:inline distT="0" distB="0" distL="0" distR="0" wp14:anchorId="023BE9D9" wp14:editId="4F86EA32">
            <wp:extent cx="5486400" cy="3490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490820"/>
                    </a:xfrm>
                    <a:prstGeom prst="rect">
                      <a:avLst/>
                    </a:prstGeom>
                    <a:noFill/>
                    <a:ln>
                      <a:noFill/>
                    </a:ln>
                  </pic:spPr>
                </pic:pic>
              </a:graphicData>
            </a:graphic>
          </wp:inline>
        </w:drawing>
      </w:r>
    </w:p>
    <w:p w14:paraId="0FE3D694" w14:textId="77777777" w:rsidR="00F4469B" w:rsidRDefault="00F4469B" w:rsidP="00F4469B">
      <w:pPr>
        <w:pStyle w:val="ListParagraph"/>
        <w:numPr>
          <w:ilvl w:val="0"/>
          <w:numId w:val="1"/>
        </w:numPr>
      </w:pPr>
      <w:r>
        <w:t>Contaminant source (orange rectangle)</w:t>
      </w:r>
    </w:p>
    <w:p w14:paraId="32ABA9BC" w14:textId="77777777" w:rsidR="00F4469B" w:rsidRDefault="00F4469B" w:rsidP="00F4469B">
      <w:pPr>
        <w:pStyle w:val="ListParagraph"/>
        <w:numPr>
          <w:ilvl w:val="0"/>
          <w:numId w:val="1"/>
        </w:numPr>
      </w:pPr>
      <w:r>
        <w:t>3 monitoring wells</w:t>
      </w:r>
    </w:p>
    <w:p w14:paraId="7E9B4D16" w14:textId="77777777" w:rsidR="00F4469B" w:rsidRDefault="00F4469B" w:rsidP="00F4469B">
      <w:pPr>
        <w:pStyle w:val="ListParagraph"/>
      </w:pPr>
    </w:p>
    <w:p w14:paraId="5DC5A446" w14:textId="40E08B90" w:rsidR="00F4469B" w:rsidRDefault="00F4469B">
      <w:r>
        <w:t xml:space="preserve">We know </w:t>
      </w:r>
      <w:r w:rsidR="00923BE1">
        <w:t xml:space="preserve">some of </w:t>
      </w:r>
      <w:r>
        <w:t xml:space="preserve">the properties of the source (location, size, strength, </w:t>
      </w:r>
      <w:r w:rsidR="00635AC0">
        <w:t xml:space="preserve">release </w:t>
      </w:r>
      <w:r w:rsidR="00923BE1">
        <w:t xml:space="preserve">start time, </w:t>
      </w:r>
      <w:r>
        <w:t>etc.).</w:t>
      </w:r>
      <w:r w:rsidR="004A7540">
        <w:t xml:space="preserve"> </w:t>
      </w:r>
      <w:r>
        <w:t xml:space="preserve">We know concentrations observed at the 3 monitoring wells (10 annual </w:t>
      </w:r>
      <w:r w:rsidR="00A716AD">
        <w:t>measurements per well</w:t>
      </w:r>
      <w:r w:rsidR="002D7A82">
        <w:t xml:space="preserve"> from 2006-2015</w:t>
      </w:r>
      <w:r w:rsidR="00A716AD">
        <w:t>).</w:t>
      </w:r>
    </w:p>
    <w:p w14:paraId="36FD2779" w14:textId="77777777" w:rsidR="009A6FB3" w:rsidRDefault="00A716AD">
      <w:r>
        <w:t>We do NOT</w:t>
      </w:r>
      <w:r w:rsidR="009A6FB3">
        <w:t xml:space="preserve"> know</w:t>
      </w:r>
    </w:p>
    <w:p w14:paraId="184DCE5A" w14:textId="5DF7779A" w:rsidR="009A6FB3" w:rsidRDefault="009A6FB3" w:rsidP="009A6FB3">
      <w:pPr>
        <w:pStyle w:val="ListParagraph"/>
        <w:numPr>
          <w:ilvl w:val="0"/>
          <w:numId w:val="2"/>
        </w:numPr>
      </w:pPr>
      <w:proofErr w:type="gramStart"/>
      <w:r>
        <w:t>groundwater</w:t>
      </w:r>
      <w:proofErr w:type="gramEnd"/>
      <w:r>
        <w:t xml:space="preserve"> flow velocity</w:t>
      </w:r>
    </w:p>
    <w:p w14:paraId="148C9F25" w14:textId="56A2A55D" w:rsidR="009A6FB3" w:rsidRDefault="00A716AD" w:rsidP="00482DB1">
      <w:pPr>
        <w:pStyle w:val="ListParagraph"/>
        <w:numPr>
          <w:ilvl w:val="0"/>
          <w:numId w:val="2"/>
        </w:numPr>
      </w:pPr>
      <w:proofErr w:type="gramStart"/>
      <w:r>
        <w:t>longi</w:t>
      </w:r>
      <w:r w:rsidR="009A6FB3">
        <w:t>tudinal</w:t>
      </w:r>
      <w:proofErr w:type="gramEnd"/>
      <w:r w:rsidR="009A6FB3">
        <w:t xml:space="preserve"> dispersion of the plume</w:t>
      </w:r>
    </w:p>
    <w:p w14:paraId="52F2954A" w14:textId="54D8C166" w:rsidR="00A716AD" w:rsidRDefault="00482DB1">
      <w:r>
        <w:t>I</w:t>
      </w:r>
      <w:r w:rsidR="00A716AD">
        <w:t>nverse model</w:t>
      </w:r>
      <w:r>
        <w:t>ing</w:t>
      </w:r>
      <w:r w:rsidR="00A716AD">
        <w:t xml:space="preserve"> can </w:t>
      </w:r>
      <w:r>
        <w:t xml:space="preserve">be used to </w:t>
      </w:r>
      <w:r w:rsidR="00A716AD">
        <w:t>estimate the</w:t>
      </w:r>
      <w:r w:rsidR="00CA223A">
        <w:t>se parameters</w:t>
      </w:r>
      <w:r w:rsidR="00A716AD">
        <w:t xml:space="preserve">. However, there </w:t>
      </w:r>
      <w:r w:rsidR="0034759A">
        <w:t xml:space="preserve">are </w:t>
      </w:r>
      <w:r w:rsidR="008A39E6">
        <w:t>uncertainties with the</w:t>
      </w:r>
      <w:r w:rsidR="00A716AD">
        <w:t xml:space="preserve"> estimates</w:t>
      </w:r>
      <w:r w:rsidR="00C1112D">
        <w:t xml:space="preserve"> that inverse modeling does not consider</w:t>
      </w:r>
      <w:r w:rsidR="00A716AD">
        <w:t>.</w:t>
      </w:r>
      <w:r w:rsidR="004A7540">
        <w:t xml:space="preserve"> Because of these uncertainties, we perform a decision analysis rather than a simple inverse analysis.</w:t>
      </w:r>
    </w:p>
    <w:p w14:paraId="1AF3D246" w14:textId="77777777" w:rsidR="005666DE" w:rsidRDefault="005666DE"/>
    <w:p w14:paraId="16D683F9" w14:textId="43E7C9D4" w:rsidR="005666DE" w:rsidRDefault="005666DE">
      <w:pPr>
        <w:rPr>
          <w:b/>
        </w:rPr>
      </w:pPr>
      <w:r>
        <w:rPr>
          <w:b/>
        </w:rPr>
        <w:t>Uncertainties:</w:t>
      </w:r>
    </w:p>
    <w:p w14:paraId="14ACCAAB" w14:textId="1FD3453E" w:rsidR="005666DE" w:rsidRDefault="005666DE">
      <w:r w:rsidRPr="005666DE">
        <w:t>Probabilistic uncertainties</w:t>
      </w:r>
      <w:r>
        <w:t>:</w:t>
      </w:r>
    </w:p>
    <w:p w14:paraId="2D697E50" w14:textId="6E0303E4" w:rsidR="005666DE" w:rsidRDefault="005666DE" w:rsidP="005666DE">
      <w:pPr>
        <w:pStyle w:val="ListParagraph"/>
        <w:numPr>
          <w:ilvl w:val="0"/>
          <w:numId w:val="2"/>
        </w:numPr>
      </w:pPr>
      <w:proofErr w:type="gramStart"/>
      <w:r>
        <w:t>prior</w:t>
      </w:r>
      <w:proofErr w:type="gramEnd"/>
      <w:r>
        <w:t xml:space="preserve"> probabilities about unknown model parameters (groundwater flow velocity and longitudinal plume dispersion)</w:t>
      </w:r>
    </w:p>
    <w:p w14:paraId="3CB5F2DF" w14:textId="2B332E8D" w:rsidR="005666DE" w:rsidRDefault="005666DE" w:rsidP="005666DE">
      <w:pPr>
        <w:pStyle w:val="ListParagraph"/>
        <w:numPr>
          <w:ilvl w:val="0"/>
          <w:numId w:val="2"/>
        </w:numPr>
      </w:pPr>
      <w:proofErr w:type="gramStart"/>
      <w:r>
        <w:t>measurement</w:t>
      </w:r>
      <w:proofErr w:type="gramEnd"/>
      <w:r>
        <w:t xml:space="preserve"> errors of the observed concentrations</w:t>
      </w:r>
    </w:p>
    <w:p w14:paraId="07140EC4" w14:textId="3FE5485B" w:rsidR="005666DE" w:rsidRPr="005666DE" w:rsidRDefault="005666DE" w:rsidP="005666DE">
      <w:pPr>
        <w:pStyle w:val="ListParagraph"/>
        <w:numPr>
          <w:ilvl w:val="0"/>
          <w:numId w:val="4"/>
        </w:numPr>
      </w:pPr>
      <w:proofErr w:type="gramStart"/>
      <w:r>
        <w:lastRenderedPageBreak/>
        <w:t>posterior</w:t>
      </w:r>
      <w:proofErr w:type="gramEnd"/>
      <w:r>
        <w:t xml:space="preserve"> probabilities about unknown model parameters (informed through Bayes theorem accounting for </w:t>
      </w:r>
      <w:r w:rsidR="00635AC0">
        <w:t xml:space="preserve">the </w:t>
      </w:r>
      <w:r>
        <w:t xml:space="preserve">impact of observed concentrations to constrain the prior </w:t>
      </w:r>
      <w:r w:rsidR="00E26BEB">
        <w:t>model-</w:t>
      </w:r>
      <w:r>
        <w:t>parameter probabilities)</w:t>
      </w:r>
    </w:p>
    <w:p w14:paraId="280E00C4" w14:textId="6334584D" w:rsidR="005666DE" w:rsidRDefault="005666DE" w:rsidP="005666DE">
      <w:r>
        <w:t>Non-p</w:t>
      </w:r>
      <w:r w:rsidRPr="005666DE">
        <w:t>robabilistic uncertainties</w:t>
      </w:r>
      <w:r>
        <w:t>:</w:t>
      </w:r>
    </w:p>
    <w:p w14:paraId="6BBA24DB" w14:textId="6AA8E40A" w:rsidR="00E26BEB" w:rsidRDefault="00E26BEB" w:rsidP="00E26BEB">
      <w:pPr>
        <w:pStyle w:val="ListParagraph"/>
        <w:numPr>
          <w:ilvl w:val="0"/>
          <w:numId w:val="4"/>
        </w:numPr>
      </w:pPr>
      <w:proofErr w:type="gramStart"/>
      <w:r>
        <w:t>conceptual</w:t>
      </w:r>
      <w:proofErr w:type="gramEnd"/>
      <w:r>
        <w:t xml:space="preserve"> uncertainties in the </w:t>
      </w:r>
      <w:r w:rsidR="00983CA9">
        <w:t xml:space="preserve">applied </w:t>
      </w:r>
      <w:r>
        <w:t>model</w:t>
      </w:r>
    </w:p>
    <w:p w14:paraId="23537291" w14:textId="2677E607" w:rsidR="00E26BEB" w:rsidRDefault="00402195" w:rsidP="00E26BEB">
      <w:pPr>
        <w:pStyle w:val="ListParagraph"/>
        <w:numPr>
          <w:ilvl w:val="0"/>
          <w:numId w:val="4"/>
        </w:numPr>
      </w:pPr>
      <w:proofErr w:type="gramStart"/>
      <w:r>
        <w:t>uncertainties</w:t>
      </w:r>
      <w:proofErr w:type="gramEnd"/>
      <w:r>
        <w:t xml:space="preserve"> in the statistical model characterizing </w:t>
      </w:r>
      <w:r w:rsidR="002F182D">
        <w:t xml:space="preserve">the </w:t>
      </w:r>
      <w:r w:rsidR="00C060B3">
        <w:t xml:space="preserve">discrepancies </w:t>
      </w:r>
      <w:r>
        <w:t>(residuals) between model predictions and concentration observat</w:t>
      </w:r>
      <w:r w:rsidR="00C060B3">
        <w:t xml:space="preserve">ions; typically the discrepancies (residuals) are considered to be normally distributed </w:t>
      </w:r>
      <w:r w:rsidR="002F182D">
        <w:t xml:space="preserve">with some fixed variance </w:t>
      </w:r>
      <w:r w:rsidR="00C060B3">
        <w:t xml:space="preserve">(e.g. in the case of Bayesian decision analysis); </w:t>
      </w:r>
      <w:r w:rsidR="002F182D">
        <w:t xml:space="preserve">the </w:t>
      </w:r>
      <w:r w:rsidR="00C060B3">
        <w:t xml:space="preserve">Information-gap decision approach allows for </w:t>
      </w:r>
      <w:r w:rsidR="00DC4CBF">
        <w:t xml:space="preserve">(1) </w:t>
      </w:r>
      <w:r w:rsidR="00C060B3">
        <w:t>deviations from the assumption of normality</w:t>
      </w:r>
      <w:r w:rsidR="002F182D">
        <w:t xml:space="preserve"> or </w:t>
      </w:r>
      <w:r w:rsidR="00DC4CBF">
        <w:t xml:space="preserve">(2) </w:t>
      </w:r>
      <w:r w:rsidR="002F182D">
        <w:t>deviations from the assumed variance</w:t>
      </w:r>
      <w:r w:rsidR="00C060B3">
        <w:t>.</w:t>
      </w:r>
    </w:p>
    <w:p w14:paraId="6B1D04A2" w14:textId="77777777" w:rsidR="00A716AD" w:rsidRDefault="00A716AD"/>
    <w:p w14:paraId="1DD9EE7D" w14:textId="5A1592EA" w:rsidR="0042325F" w:rsidRDefault="00A716AD">
      <w:r w:rsidRPr="00A716AD">
        <w:rPr>
          <w:b/>
        </w:rPr>
        <w:t>Goal:</w:t>
      </w:r>
      <w:r>
        <w:t xml:space="preserve"> </w:t>
      </w:r>
      <w:r w:rsidR="009A6FB3">
        <w:t xml:space="preserve">future concentrations </w:t>
      </w:r>
      <w:r w:rsidR="0042325F">
        <w:t xml:space="preserve">at monitoring well w2 </w:t>
      </w:r>
      <w:r w:rsidR="00577F53">
        <w:t xml:space="preserve">(from 2016 till 2025) </w:t>
      </w:r>
      <w:r w:rsidR="0042325F">
        <w:t xml:space="preserve">are less than MCL of </w:t>
      </w:r>
      <w:r w:rsidR="00C738B3">
        <w:t xml:space="preserve">2500 </w:t>
      </w:r>
      <w:r w:rsidR="0042325F">
        <w:t>ppb</w:t>
      </w:r>
    </w:p>
    <w:p w14:paraId="07AB5F89" w14:textId="77777777" w:rsidR="0042325F" w:rsidRDefault="0042325F"/>
    <w:p w14:paraId="11CF9793" w14:textId="04203E97" w:rsidR="00CA223A" w:rsidRPr="00CA223A" w:rsidRDefault="00CA223A">
      <w:pPr>
        <w:rPr>
          <w:b/>
        </w:rPr>
      </w:pPr>
      <w:r w:rsidRPr="00CA223A">
        <w:rPr>
          <w:b/>
        </w:rPr>
        <w:t>Scenarios:</w:t>
      </w:r>
    </w:p>
    <w:p w14:paraId="7C9A40B3" w14:textId="6AF6A125" w:rsidR="00CA223A" w:rsidRDefault="00C1112D" w:rsidP="00CA223A">
      <w:pPr>
        <w:pStyle w:val="ListParagraph"/>
        <w:numPr>
          <w:ilvl w:val="0"/>
          <w:numId w:val="3"/>
        </w:numPr>
      </w:pPr>
      <w:r>
        <w:t>T</w:t>
      </w:r>
      <w:r w:rsidR="00577F53">
        <w:t>erminate</w:t>
      </w:r>
      <w:r>
        <w:t xml:space="preserve"> the source</w:t>
      </w:r>
      <w:r w:rsidR="00577F53">
        <w:t xml:space="preserve"> in 2015</w:t>
      </w:r>
      <w:r>
        <w:t xml:space="preserve"> (now)</w:t>
      </w:r>
    </w:p>
    <w:p w14:paraId="6FBBC98E" w14:textId="5E453372" w:rsidR="00CA223A" w:rsidRDefault="00C1112D" w:rsidP="00CA223A">
      <w:pPr>
        <w:pStyle w:val="ListParagraph"/>
        <w:numPr>
          <w:ilvl w:val="0"/>
          <w:numId w:val="3"/>
        </w:numPr>
      </w:pPr>
      <w:r>
        <w:t>T</w:t>
      </w:r>
      <w:r w:rsidR="00577F53">
        <w:t>erminate</w:t>
      </w:r>
      <w:r>
        <w:t xml:space="preserve"> the source</w:t>
      </w:r>
      <w:r w:rsidR="00577F53">
        <w:t xml:space="preserve"> in 2020</w:t>
      </w:r>
      <w:r>
        <w:t xml:space="preserve"> (in 5 years)</w:t>
      </w:r>
    </w:p>
    <w:p w14:paraId="549127AA" w14:textId="7027500D" w:rsidR="004A7540" w:rsidRDefault="004A7540" w:rsidP="004A7540">
      <w:pPr>
        <w:pStyle w:val="ListParagraph"/>
        <w:numPr>
          <w:ilvl w:val="0"/>
          <w:numId w:val="3"/>
        </w:numPr>
      </w:pPr>
      <w:r>
        <w:t>Terminate the source in 2025 (in 10 years)</w:t>
      </w:r>
    </w:p>
    <w:p w14:paraId="7482AF6F" w14:textId="33B6A3E3" w:rsidR="004A7540" w:rsidRDefault="004A7540" w:rsidP="004A7540">
      <w:pPr>
        <w:pStyle w:val="ListParagraph"/>
        <w:numPr>
          <w:ilvl w:val="0"/>
          <w:numId w:val="3"/>
        </w:numPr>
      </w:pPr>
      <w:r>
        <w:t>Terminate the source in 2030 (in 15 years)</w:t>
      </w:r>
    </w:p>
    <w:p w14:paraId="63F68A30" w14:textId="69BEE297" w:rsidR="00CA223A" w:rsidRDefault="00CA223A" w:rsidP="00CA223A"/>
    <w:p w14:paraId="032064BA" w14:textId="08B1FC45" w:rsidR="0042325F" w:rsidRDefault="0042325F" w:rsidP="0042325F">
      <w:r w:rsidRPr="0042325F">
        <w:rPr>
          <w:b/>
        </w:rPr>
        <w:t>Task:</w:t>
      </w:r>
      <w:r>
        <w:t xml:space="preserve"> </w:t>
      </w:r>
      <w:r w:rsidR="00482DB1">
        <w:t xml:space="preserve">Evaluate the </w:t>
      </w:r>
      <w:r>
        <w:t xml:space="preserve">robustness </w:t>
      </w:r>
      <w:r w:rsidR="00482DB1">
        <w:t>of</w:t>
      </w:r>
      <w:r>
        <w:t xml:space="preserve"> future concentration</w:t>
      </w:r>
      <w:r w:rsidR="00830127">
        <w:t>s at w2</w:t>
      </w:r>
      <w:r>
        <w:t xml:space="preserve"> being below </w:t>
      </w:r>
      <w:r w:rsidR="002F182D">
        <w:t xml:space="preserve">2500 </w:t>
      </w:r>
      <w:r>
        <w:t xml:space="preserve">ppb </w:t>
      </w:r>
      <w:r w:rsidR="00482DB1">
        <w:t xml:space="preserve">with respect to </w:t>
      </w:r>
      <w:r>
        <w:t xml:space="preserve">the uncertainties in the model </w:t>
      </w:r>
      <w:r w:rsidR="00830127">
        <w:t>and the statistical methods</w:t>
      </w:r>
      <w:r w:rsidR="00482DB1">
        <w:t>.</w:t>
      </w:r>
    </w:p>
    <w:p w14:paraId="2AC6FBBB" w14:textId="77777777" w:rsidR="00AE1F22" w:rsidRDefault="00AE1F22" w:rsidP="0042325F"/>
    <w:p w14:paraId="4C9EFF7E" w14:textId="0ABC52D1" w:rsidR="00AE1F22" w:rsidRDefault="00AE1F22" w:rsidP="0042325F">
      <w:r w:rsidRPr="00AE1F22">
        <w:rPr>
          <w:b/>
        </w:rPr>
        <w:t>Method:</w:t>
      </w:r>
      <w:r>
        <w:t xml:space="preserve"> Bayesian Information Gap Decision Theory (BIG-DT)</w:t>
      </w:r>
    </w:p>
    <w:p w14:paraId="0CC4DAC3" w14:textId="77777777" w:rsidR="0042325F" w:rsidRDefault="0042325F" w:rsidP="0042325F">
      <w:bookmarkStart w:id="0" w:name="_GoBack"/>
      <w:bookmarkEnd w:id="0"/>
    </w:p>
    <w:p w14:paraId="667E1BED" w14:textId="7B7D9E45" w:rsidR="00E357D2" w:rsidRPr="00635AC0" w:rsidRDefault="00635AC0" w:rsidP="0042325F">
      <w:r w:rsidRPr="00635AC0">
        <w:rPr>
          <w:b/>
        </w:rPr>
        <w:t>Horizon (level) of uncertainty</w:t>
      </w:r>
      <w:r>
        <w:rPr>
          <w:b/>
        </w:rPr>
        <w:t>:</w:t>
      </w:r>
      <w:r>
        <w:t xml:space="preserve"> </w:t>
      </w:r>
      <w:r w:rsidR="00E357D2">
        <w:t xml:space="preserve">a non-negative </w:t>
      </w:r>
      <w:r w:rsidR="002F182D">
        <w:t xml:space="preserve">index that defines </w:t>
      </w:r>
      <w:r w:rsidR="00E914D3">
        <w:t xml:space="preserve">(1) </w:t>
      </w:r>
      <w:r w:rsidR="002F182D">
        <w:t>a set of possible</w:t>
      </w:r>
      <w:r w:rsidR="00E357D2">
        <w:t xml:space="preserve"> concentrations at w2 (including possibilities not predicted by the model) and </w:t>
      </w:r>
      <w:r w:rsidR="00E914D3">
        <w:t xml:space="preserve">(2) </w:t>
      </w:r>
      <w:r w:rsidR="00E357D2">
        <w:t>a set of</w:t>
      </w:r>
      <w:r w:rsidR="002F182D">
        <w:t xml:space="preserve"> likelihood functions for the discrepancy (residual) between the model prediction and the observation. </w:t>
      </w:r>
      <w:r w:rsidR="00DC4CBF">
        <w:t>The likelihood functions differ in the variance.</w:t>
      </w:r>
      <w:r w:rsidR="00E357D2">
        <w:t xml:space="preserve"> The set of possible concentrations at w2 is the set of concentrations whose relative error with respect to the model is less than the horizon of uncertainty. The set of variances is</w:t>
      </w:r>
      <w:r w:rsidR="0039173F">
        <w:br/>
      </w:r>
      <m:oMathPara>
        <m:oMath>
          <m:d>
            <m:dPr>
              <m:begChr m:val="{"/>
              <m:endChr m:val="}"/>
              <m:shp m:val="match"/>
              <m:ctrlPr>
                <w:rPr>
                  <w:rFonts w:ascii="Cambria Math" w:hAnsi="Cambria Math"/>
                  <w:i/>
                </w:rPr>
              </m:ctrlPr>
            </m:dPr>
            <m:e>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σ</m:t>
                      </m:r>
                    </m:e>
                    <m:sub>
                      <m:r>
                        <w:rPr>
                          <w:rFonts w:ascii="Cambria Math" w:hAnsi="Cambria Math"/>
                        </w:rPr>
                        <m:t>0</m:t>
                      </m:r>
                    </m:sub>
                    <m:sup>
                      <m:r>
                        <w:rPr>
                          <w:rFonts w:ascii="Cambria Math" w:hAnsi="Cambria Math"/>
                        </w:rPr>
                        <m:t>2</m:t>
                      </m:r>
                    </m:sup>
                  </m:sSubSup>
                </m:num>
                <m:den>
                  <m:sSup>
                    <m:sSupPr>
                      <m:ctrlPr>
                        <w:rPr>
                          <w:rFonts w:ascii="Cambria Math" w:hAnsi="Cambria Math"/>
                          <w:i/>
                        </w:rPr>
                      </m:ctrlPr>
                    </m:sSupPr>
                    <m:e>
                      <m:r>
                        <w:rPr>
                          <w:rFonts w:ascii="Cambria Math" w:hAnsi="Cambria Math"/>
                        </w:rPr>
                        <m:t>10</m:t>
                      </m:r>
                    </m:e>
                    <m:sup>
                      <m:r>
                        <w:rPr>
                          <w:rFonts w:ascii="Cambria Math" w:hAnsi="Cambria Math"/>
                        </w:rPr>
                        <m:t>h</m:t>
                      </m:r>
                    </m:sup>
                  </m:sSup>
                </m:den>
              </m:f>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h</m:t>
                  </m:r>
                </m:sup>
              </m:sSup>
              <m:sSubSup>
                <m:sSubSupPr>
                  <m:ctrlPr>
                    <w:rPr>
                      <w:rFonts w:ascii="Cambria Math" w:hAnsi="Cambria Math"/>
                      <w:i/>
                    </w:rPr>
                  </m:ctrlPr>
                </m:sSubSupPr>
                <m:e>
                  <m:r>
                    <w:rPr>
                      <w:rFonts w:ascii="Cambria Math" w:hAnsi="Cambria Math"/>
                    </w:rPr>
                    <m:t>σ</m:t>
                  </m:r>
                </m:e>
                <m:sub>
                  <m:r>
                    <w:rPr>
                      <w:rFonts w:ascii="Cambria Math" w:hAnsi="Cambria Math"/>
                    </w:rPr>
                    <m:t>0</m:t>
                  </m:r>
                </m:sub>
                <m:sup>
                  <m:r>
                    <w:rPr>
                      <w:rFonts w:ascii="Cambria Math" w:hAnsi="Cambria Math"/>
                    </w:rPr>
                    <m:t>2</m:t>
                  </m:r>
                </m:sup>
              </m:sSubSup>
            </m:e>
          </m:d>
          <m:r>
            <w:br/>
          </m:r>
        </m:oMath>
      </m:oMathPara>
      <w:r w:rsidR="00E357D2">
        <w:t>where</w:t>
      </w:r>
      <w:r w:rsidR="001F1652">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0</m:t>
            </m:r>
          </m:sub>
          <m:sup>
            <m:r>
              <w:rPr>
                <w:rFonts w:ascii="Cambria Math" w:hAnsi="Cambria Math"/>
              </w:rPr>
              <m:t>2</m:t>
            </m:r>
          </m:sup>
        </m:sSubSup>
      </m:oMath>
      <w:r w:rsidR="001F1652">
        <w:t xml:space="preserve"> </w:t>
      </w:r>
      <w:r w:rsidR="00E357D2">
        <w:t xml:space="preserve">is the nominal variance </w:t>
      </w:r>
      <w:r w:rsidR="00E914D3">
        <w:t>(</w:t>
      </w:r>
      <w:r w:rsidR="009275C3">
        <w:t xml:space="preserve">500; the </w:t>
      </w:r>
      <w:r w:rsidR="00D55013">
        <w:t xml:space="preserve">nominal </w:t>
      </w:r>
      <w:r w:rsidR="009275C3">
        <w:t>standard deviation</w:t>
      </w:r>
      <w:r w:rsidR="00871B34">
        <w:t xml:space="preserve"> </w:t>
      </w:r>
      <w:r w:rsidR="00871B34" w:rsidRPr="00ED6991">
        <w:rPr>
          <w:i/>
        </w:rPr>
        <w:t>σ</w:t>
      </w:r>
      <w:r w:rsidR="009275C3">
        <w:t xml:space="preserve"> is ~22</w:t>
      </w:r>
      <w:r w:rsidR="00E914D3">
        <w:t xml:space="preserve">) </w:t>
      </w:r>
      <w:r w:rsidR="00E357D2">
        <w:t>and</w:t>
      </w:r>
      <w:r w:rsidR="001F1652">
        <w:t xml:space="preserve"> </w:t>
      </w:r>
      <w:r w:rsidR="001F1652" w:rsidRPr="001F1652">
        <w:rPr>
          <w:i/>
        </w:rPr>
        <w:t>h</w:t>
      </w:r>
      <w:r w:rsidR="001F1652">
        <w:t xml:space="preserve"> </w:t>
      </w:r>
      <w:r w:rsidR="00E357D2">
        <w:t xml:space="preserve">is the horizon of uncertainty. </w:t>
      </w:r>
      <w:r w:rsidR="002F182D">
        <w:t>As the index increases, these sets become bigger, allowing for more possibilities.</w:t>
      </w:r>
    </w:p>
    <w:p w14:paraId="4BDD93F0" w14:textId="77777777" w:rsidR="00635AC0" w:rsidRDefault="00635AC0" w:rsidP="0042325F"/>
    <w:p w14:paraId="1162D2C8" w14:textId="6D76CDB2" w:rsidR="00635AC0" w:rsidRDefault="00635AC0" w:rsidP="0042325F">
      <w:r w:rsidRPr="00635AC0">
        <w:rPr>
          <w:b/>
        </w:rPr>
        <w:t>Robustness:</w:t>
      </w:r>
      <w:r>
        <w:t xml:space="preserve"> </w:t>
      </w:r>
      <w:r w:rsidR="002F182D">
        <w:t xml:space="preserve">the horizon </w:t>
      </w:r>
      <w:r w:rsidR="003F3F23">
        <w:t xml:space="preserve">(level) </w:t>
      </w:r>
      <w:r w:rsidR="002F182D">
        <w:t>of uncertainty at which the maximum acceptable probability of failure is reached</w:t>
      </w:r>
    </w:p>
    <w:p w14:paraId="48D91A95" w14:textId="77777777" w:rsidR="00635AC0" w:rsidRDefault="00635AC0" w:rsidP="0042325F"/>
    <w:p w14:paraId="10385DD9" w14:textId="6C0404F7" w:rsidR="00077A10" w:rsidRPr="00077A10" w:rsidRDefault="00DB0541" w:rsidP="00CA223A">
      <w:pPr>
        <w:rPr>
          <w:b/>
        </w:rPr>
      </w:pPr>
      <w:r>
        <w:rPr>
          <w:b/>
        </w:rPr>
        <w:t xml:space="preserve">Results: </w:t>
      </w:r>
      <w:r w:rsidR="007C43EF">
        <w:t>Figures representing r</w:t>
      </w:r>
      <w:r w:rsidR="00077A10" w:rsidRPr="00DB0541">
        <w:t>obustness of model prediction</w:t>
      </w:r>
      <w:r w:rsidR="00A04F92" w:rsidRPr="00DB0541">
        <w:t>s</w:t>
      </w:r>
      <w:r w:rsidR="00077A10" w:rsidRPr="00DB0541">
        <w:t>:</w:t>
      </w:r>
    </w:p>
    <w:p w14:paraId="487D7F1E" w14:textId="7548526F" w:rsidR="008B1421" w:rsidRDefault="008B1421" w:rsidP="00CA223A">
      <w:r>
        <w:rPr>
          <w:noProof/>
        </w:rPr>
        <w:drawing>
          <wp:inline distT="0" distB="0" distL="0" distR="0" wp14:anchorId="681A65C1" wp14:editId="4C389BF6">
            <wp:extent cx="5486400" cy="375355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753555"/>
                    </a:xfrm>
                    <a:prstGeom prst="rect">
                      <a:avLst/>
                    </a:prstGeom>
                    <a:noFill/>
                    <a:ln>
                      <a:noFill/>
                    </a:ln>
                  </pic:spPr>
                </pic:pic>
              </a:graphicData>
            </a:graphic>
          </wp:inline>
        </w:drawing>
      </w:r>
    </w:p>
    <w:p w14:paraId="34AB69CE" w14:textId="6B85D6E2" w:rsidR="00905D88" w:rsidRDefault="00905D88" w:rsidP="00CA223A">
      <w:r>
        <w:t>(a) Complete robustness curves</w:t>
      </w:r>
    </w:p>
    <w:p w14:paraId="2F06CD1E" w14:textId="1027938A" w:rsidR="00905D88" w:rsidRDefault="001B44AD" w:rsidP="00CA223A">
      <w:r>
        <w:rPr>
          <w:noProof/>
        </w:rPr>
        <w:drawing>
          <wp:inline distT="0" distB="0" distL="0" distR="0" wp14:anchorId="4AC96E86" wp14:editId="5D9E5144">
            <wp:extent cx="5486400" cy="3706951"/>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706951"/>
                    </a:xfrm>
                    <a:prstGeom prst="rect">
                      <a:avLst/>
                    </a:prstGeom>
                    <a:noFill/>
                    <a:ln>
                      <a:noFill/>
                    </a:ln>
                  </pic:spPr>
                </pic:pic>
              </a:graphicData>
            </a:graphic>
          </wp:inline>
        </w:drawing>
      </w:r>
    </w:p>
    <w:p w14:paraId="3E41DEB9" w14:textId="30561E53" w:rsidR="00905D88" w:rsidRDefault="00AB1106" w:rsidP="00CA223A">
      <w:r>
        <w:t>(b) Zoomed-</w:t>
      </w:r>
      <w:r w:rsidR="001B44AD">
        <w:t>in robustness curves</w:t>
      </w:r>
    </w:p>
    <w:p w14:paraId="4E3354E0" w14:textId="77777777" w:rsidR="00BA2910" w:rsidRDefault="00BA2910" w:rsidP="00CA223A"/>
    <w:p w14:paraId="41E8EE9A" w14:textId="7E63A921" w:rsidR="00905D88" w:rsidRDefault="00973DF3" w:rsidP="00CA223A">
      <w:r>
        <w:rPr>
          <w:b/>
        </w:rPr>
        <w:t xml:space="preserve">Discussion of </w:t>
      </w:r>
      <w:r w:rsidR="00BD2D34">
        <w:rPr>
          <w:b/>
        </w:rPr>
        <w:t xml:space="preserve">the </w:t>
      </w:r>
      <w:r>
        <w:rPr>
          <w:b/>
        </w:rPr>
        <w:t>results</w:t>
      </w:r>
      <w:r w:rsidR="00A04F92" w:rsidRPr="00A04F92">
        <w:rPr>
          <w:b/>
        </w:rPr>
        <w:t>:</w:t>
      </w:r>
      <w:r w:rsidR="00A04F92">
        <w:t xml:space="preserve"> </w:t>
      </w:r>
      <w:r w:rsidR="000B7250">
        <w:t xml:space="preserve">We nominally expect that terminating the source at any of these dates </w:t>
      </w:r>
      <w:r w:rsidR="00CA4CC0">
        <w:t xml:space="preserve">(2015, 2020, 2025 or 2030) </w:t>
      </w:r>
      <w:r w:rsidR="000B7250">
        <w:t>will probably ensure that future concentrati</w:t>
      </w:r>
      <w:r w:rsidR="00905D88">
        <w:t xml:space="preserve">ons at w2 remain below </w:t>
      </w:r>
      <w:r w:rsidR="002F182D">
        <w:t>2500ppb</w:t>
      </w:r>
      <w:r w:rsidR="00905D88">
        <w:t xml:space="preserve">. This is because </w:t>
      </w:r>
      <w:r w:rsidR="000B7250">
        <w:t xml:space="preserve">the maximum probability of failure is </w:t>
      </w:r>
      <w:r w:rsidR="00905D88">
        <w:t>almost zero</w:t>
      </w:r>
      <w:r w:rsidR="000B7250">
        <w:t xml:space="preserve"> when the horizon of uncertainty is </w:t>
      </w:r>
      <w:r w:rsidR="00905D88">
        <w:t>zero</w:t>
      </w:r>
      <w:r w:rsidR="000B7250">
        <w:t>.</w:t>
      </w:r>
      <w:r w:rsidR="00905D88">
        <w:t xml:space="preserve"> The zero-horizon of uncertainty estimate also corresponds to</w:t>
      </w:r>
      <w:r w:rsidR="002F182D">
        <w:t xml:space="preserve"> the</w:t>
      </w:r>
      <w:r w:rsidR="00905D88">
        <w:t xml:space="preserve"> </w:t>
      </w:r>
      <w:r w:rsidR="00CA4CC0">
        <w:t xml:space="preserve">result obtained using </w:t>
      </w:r>
      <w:r w:rsidR="00905D88">
        <w:t xml:space="preserve">a Bayesian decision </w:t>
      </w:r>
      <w:r w:rsidR="00CA4CC0">
        <w:t>analysis that</w:t>
      </w:r>
      <w:r w:rsidR="00905D88">
        <w:t xml:space="preserve"> does not account for non-probabilistic (information gap</w:t>
      </w:r>
      <w:r w:rsidR="002066FD">
        <w:t>) uncertainties</w:t>
      </w:r>
      <w:r w:rsidR="00905D88">
        <w:t>.</w:t>
      </w:r>
    </w:p>
    <w:p w14:paraId="5964CF58" w14:textId="77777777" w:rsidR="00905D88" w:rsidRDefault="00905D88" w:rsidP="00CA223A"/>
    <w:p w14:paraId="10377877" w14:textId="7BD6ED2C" w:rsidR="000B7250" w:rsidRDefault="000B7250" w:rsidP="00CA223A">
      <w:r>
        <w:t xml:space="preserve">On the other hand, we are somewhat vulnerable to uncertain outcomes that deviate from our nominal case.  The sharp rise in the maximum probability of failure for the 2025 and 2030 scenarios when the horizon </w:t>
      </w:r>
      <w:r w:rsidR="00B353F5">
        <w:t xml:space="preserve">(level) </w:t>
      </w:r>
      <w:r>
        <w:t>of uncertainty is approximately 0.25</w:t>
      </w:r>
      <w:r w:rsidR="009D0AD2">
        <w:t xml:space="preserve"> (25%)</w:t>
      </w:r>
      <w:r>
        <w:t xml:space="preserve"> indicates that, e.g., if the model is underestimating the </w:t>
      </w:r>
      <w:r w:rsidR="00DB0541">
        <w:t xml:space="preserve">actual </w:t>
      </w:r>
      <w:r>
        <w:t xml:space="preserve">concentrations </w:t>
      </w:r>
      <w:r w:rsidR="00DB0541">
        <w:t xml:space="preserve">at the site </w:t>
      </w:r>
      <w:r>
        <w:t>by 25%, the probability of failure could be quite high.</w:t>
      </w:r>
      <w:r w:rsidR="004B320B">
        <w:t xml:space="preserve"> Another possibility is that undesirable outcomes that </w:t>
      </w:r>
      <w:r w:rsidR="00E3307D">
        <w:t>appear</w:t>
      </w:r>
      <w:r w:rsidR="004B320B">
        <w:t xml:space="preserve"> unlikely with the nominal variance </w:t>
      </w:r>
      <w:r w:rsidR="00E3307D">
        <w:t>appear</w:t>
      </w:r>
      <w:r w:rsidR="004B320B">
        <w:t xml:space="preserve"> more likely with some </w:t>
      </w:r>
      <w:r w:rsidR="00E3307D">
        <w:t>an</w:t>
      </w:r>
      <w:r w:rsidR="004B320B">
        <w:t>other</w:t>
      </w:r>
      <w:r w:rsidR="00E3307D">
        <w:t xml:space="preserve"> possible</w:t>
      </w:r>
      <w:r w:rsidR="004B320B">
        <w:t xml:space="preserve"> variance </w:t>
      </w:r>
      <w:r w:rsidR="00E3307D">
        <w:t>within a horizon of uncertainty of 0.25.</w:t>
      </w:r>
    </w:p>
    <w:p w14:paraId="3615C019" w14:textId="77777777" w:rsidR="000B7250" w:rsidRDefault="000B7250" w:rsidP="00CA223A"/>
    <w:p w14:paraId="4E349970" w14:textId="5F0379ED" w:rsidR="008A029A" w:rsidRDefault="00077A10" w:rsidP="00CA223A">
      <w:r>
        <w:t>Here we a</w:t>
      </w:r>
      <w:r w:rsidR="00743538">
        <w:t>ssume that the</w:t>
      </w:r>
      <w:r>
        <w:t xml:space="preserve"> maximum acceptable </w:t>
      </w:r>
      <w:r w:rsidR="007929FC">
        <w:t xml:space="preserve">probability </w:t>
      </w:r>
      <w:r>
        <w:t>of failure (vertical axis</w:t>
      </w:r>
      <w:r w:rsidR="00F97A74">
        <w:t xml:space="preserve"> in the figure above</w:t>
      </w:r>
      <w:r>
        <w:t xml:space="preserve">) </w:t>
      </w:r>
      <w:r w:rsidR="00743538">
        <w:t xml:space="preserve">is </w:t>
      </w:r>
      <w:r>
        <w:t xml:space="preserve">equal </w:t>
      </w:r>
      <w:r w:rsidR="007929FC">
        <w:t>to 0.05</w:t>
      </w:r>
      <w:r w:rsidR="00F94959">
        <w:t xml:space="preserve"> (5%)</w:t>
      </w:r>
      <w:r w:rsidR="000B7250">
        <w:t>, and base our decision analysis on where each of the curves reaches 5% maximum probability of failure</w:t>
      </w:r>
      <w:r w:rsidR="00743538">
        <w:t xml:space="preserve">. In this case, </w:t>
      </w:r>
      <w:r>
        <w:t xml:space="preserve">the scenarios terminating </w:t>
      </w:r>
      <w:r w:rsidR="00577F53">
        <w:t xml:space="preserve">the source in </w:t>
      </w:r>
      <w:r w:rsidR="00DA56DD">
        <w:t>2025</w:t>
      </w:r>
      <w:r w:rsidR="004A7540">
        <w:t xml:space="preserve"> </w:t>
      </w:r>
      <w:r w:rsidR="00577F53">
        <w:t xml:space="preserve">and </w:t>
      </w:r>
      <w:r w:rsidR="00DA56DD">
        <w:t>2030</w:t>
      </w:r>
      <w:r w:rsidR="004A7540">
        <w:t xml:space="preserve"> </w:t>
      </w:r>
      <w:r w:rsidR="00743538">
        <w:t xml:space="preserve">produce similar robustness; i.e., </w:t>
      </w:r>
      <w:r w:rsidR="000B7250">
        <w:t>if w</w:t>
      </w:r>
      <w:r w:rsidR="00B353F5">
        <w:t>e are willing to</w:t>
      </w:r>
      <w:r w:rsidR="00E77D9D">
        <w:t xml:space="preserve"> wait until 2025</w:t>
      </w:r>
      <w:r w:rsidR="000B7250">
        <w:t>, then we may as well wait until 2030</w:t>
      </w:r>
      <w:r w:rsidR="00743538">
        <w:t>.</w:t>
      </w:r>
      <w:r w:rsidR="00C1112D">
        <w:t xml:space="preserve"> </w:t>
      </w:r>
      <w:r w:rsidR="00DA56DD">
        <w:t>At this level of risk</w:t>
      </w:r>
      <w:r w:rsidR="00B353F5">
        <w:t xml:space="preserve"> (5%), terminating the source in</w:t>
      </w:r>
      <w:r w:rsidR="00DA56DD">
        <w:t xml:space="preserve"> 2015 </w:t>
      </w:r>
      <w:r w:rsidR="00E77D9D">
        <w:t xml:space="preserve">and 2020 </w:t>
      </w:r>
      <w:r w:rsidR="00DA56DD">
        <w:t>provide</w:t>
      </w:r>
      <w:r w:rsidR="00B353F5">
        <w:t>s</w:t>
      </w:r>
      <w:r w:rsidR="00DA56DD">
        <w:t xml:space="preserve"> </w:t>
      </w:r>
      <w:r w:rsidR="00E77D9D">
        <w:t>additional robustness. However,</w:t>
      </w:r>
      <w:r w:rsidR="00DA56DD">
        <w:t xml:space="preserve"> it may not be enough to merit action in the short term.</w:t>
      </w:r>
    </w:p>
    <w:p w14:paraId="3F4B5F08" w14:textId="77777777" w:rsidR="008A029A" w:rsidRDefault="008A029A" w:rsidP="00CA223A"/>
    <w:p w14:paraId="57150991" w14:textId="2369657C" w:rsidR="00923BE1" w:rsidRDefault="008A029A" w:rsidP="00CA223A">
      <w:r>
        <w:t>Based on the robustness of the model predictions the decision makers can decide the course of action</w:t>
      </w:r>
      <w:r w:rsidR="00AB17C7">
        <w:t xml:space="preserve">. Their decision </w:t>
      </w:r>
      <w:r>
        <w:t xml:space="preserve">can </w:t>
      </w:r>
      <w:r w:rsidR="00AB17C7">
        <w:t xml:space="preserve">also </w:t>
      </w:r>
      <w:r>
        <w:t xml:space="preserve">rely on risk assessment (e.g., differences in the exposure times depending on when the source is terminated) and financial constraints (e.g., costs associated with the source termination </w:t>
      </w:r>
      <w:r w:rsidR="00342DF0">
        <w:t>over different time frames).</w:t>
      </w:r>
    </w:p>
    <w:p w14:paraId="05BD7B4C" w14:textId="77777777" w:rsidR="00F97A74" w:rsidRDefault="00F97A74" w:rsidP="00CA223A"/>
    <w:p w14:paraId="512FBBBF" w14:textId="42F2624B" w:rsidR="00F97A74" w:rsidRDefault="00F97A74" w:rsidP="00CA223A">
      <w:r>
        <w:rPr>
          <w:b/>
        </w:rPr>
        <w:t>Model:</w:t>
      </w:r>
      <w:r w:rsidR="00201C25">
        <w:t xml:space="preserve"> Analytical solution</w:t>
      </w:r>
      <w:r w:rsidR="00C42B59">
        <w:t xml:space="preserve"> (coded in </w:t>
      </w:r>
      <w:proofErr w:type="spellStart"/>
      <w:r w:rsidR="00C42B59">
        <w:t>Mads.jl</w:t>
      </w:r>
      <w:proofErr w:type="spellEnd"/>
      <w:r w:rsidR="00C42B59">
        <w:t>).</w:t>
      </w:r>
    </w:p>
    <w:p w14:paraId="6C13C7BC" w14:textId="77777777" w:rsidR="00F97A74" w:rsidRDefault="00F97A74" w:rsidP="00CA223A"/>
    <w:p w14:paraId="02ADAB15" w14:textId="7F470D22" w:rsidR="00F97A74" w:rsidRPr="00F97A74" w:rsidRDefault="00F97A74" w:rsidP="00CA223A">
      <w:r w:rsidRPr="00F97A74">
        <w:rPr>
          <w:b/>
        </w:rPr>
        <w:t xml:space="preserve">Model runs: </w:t>
      </w:r>
      <w:r>
        <w:t xml:space="preserve">The presented analyses required </w:t>
      </w:r>
      <w:r w:rsidR="008B3479">
        <w:t>~</w:t>
      </w:r>
      <w:r w:rsidR="002D7E2A" w:rsidRPr="002D7E2A">
        <w:t>4</w:t>
      </w:r>
      <w:r w:rsidR="006C6A28">
        <w:t>,0</w:t>
      </w:r>
      <w:r w:rsidR="002D7E2A" w:rsidRPr="002D7E2A">
        <w:t>0</w:t>
      </w:r>
      <w:r w:rsidR="00DB0541">
        <w:t>0</w:t>
      </w:r>
      <w:r>
        <w:t xml:space="preserve"> forward model runs</w:t>
      </w:r>
      <w:r w:rsidR="00CB52A3">
        <w:t xml:space="preserve"> (</w:t>
      </w:r>
      <w:r w:rsidR="008B3479">
        <w:t>~</w:t>
      </w:r>
      <w:r w:rsidR="00CB52A3">
        <w:t>1</w:t>
      </w:r>
      <w:r w:rsidR="00DB0541">
        <w:t>,0</w:t>
      </w:r>
      <w:r w:rsidR="00CB52A3">
        <w:t>00 per scenario)</w:t>
      </w:r>
      <w:r>
        <w:t>.</w:t>
      </w:r>
      <w:r w:rsidR="00DC71B5">
        <w:t xml:space="preserve"> The analysis</w:t>
      </w:r>
      <w:r w:rsidR="00DB0541">
        <w:t xml:space="preserve"> </w:t>
      </w:r>
      <w:r w:rsidR="00E86A79">
        <w:t xml:space="preserve">took </w:t>
      </w:r>
      <w:r w:rsidR="00DB0541">
        <w:t xml:space="preserve">about </w:t>
      </w:r>
      <w:r w:rsidR="006C6A28">
        <w:t>5</w:t>
      </w:r>
      <w:r w:rsidR="008B3479">
        <w:t xml:space="preserve"> </w:t>
      </w:r>
      <w:r w:rsidR="00DB0541">
        <w:t>minutes in a serial mode</w:t>
      </w:r>
      <w:r w:rsidR="00DC71B5">
        <w:t xml:space="preserve"> using </w:t>
      </w:r>
      <w:proofErr w:type="spellStart"/>
      <w:r w:rsidR="00DC71B5">
        <w:t>Mads.jl</w:t>
      </w:r>
      <w:proofErr w:type="spellEnd"/>
      <w:r w:rsidR="00DB0541">
        <w:t xml:space="preserve">. </w:t>
      </w:r>
      <w:r w:rsidR="00B83DD0">
        <w:t>The runs are independent and can be computed efficiently in parallel.</w:t>
      </w:r>
    </w:p>
    <w:sectPr w:rsidR="00F97A74" w:rsidRPr="00F97A74" w:rsidSect="007E3CAC">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E31210"/>
    <w:multiLevelType w:val="hybridMultilevel"/>
    <w:tmpl w:val="2BB4F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860899"/>
    <w:multiLevelType w:val="hybridMultilevel"/>
    <w:tmpl w:val="BE484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C696BC1"/>
    <w:multiLevelType w:val="hybridMultilevel"/>
    <w:tmpl w:val="2D6E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B8F2D20"/>
    <w:multiLevelType w:val="hybridMultilevel"/>
    <w:tmpl w:val="A05A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9"/>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0476"/>
    <w:rsid w:val="00076BA1"/>
    <w:rsid w:val="00077A10"/>
    <w:rsid w:val="0009254A"/>
    <w:rsid w:val="000B7250"/>
    <w:rsid w:val="001B44AD"/>
    <w:rsid w:val="001D13CA"/>
    <w:rsid w:val="001F1652"/>
    <w:rsid w:val="00201C25"/>
    <w:rsid w:val="002066FD"/>
    <w:rsid w:val="0023791F"/>
    <w:rsid w:val="0026109D"/>
    <w:rsid w:val="00284B20"/>
    <w:rsid w:val="00294CFA"/>
    <w:rsid w:val="002D7A82"/>
    <w:rsid w:val="002D7E2A"/>
    <w:rsid w:val="002F182D"/>
    <w:rsid w:val="003340B3"/>
    <w:rsid w:val="00342DF0"/>
    <w:rsid w:val="0034759A"/>
    <w:rsid w:val="00350394"/>
    <w:rsid w:val="0039173F"/>
    <w:rsid w:val="003F3F23"/>
    <w:rsid w:val="00402195"/>
    <w:rsid w:val="0042325F"/>
    <w:rsid w:val="00470476"/>
    <w:rsid w:val="00482DB1"/>
    <w:rsid w:val="004A7540"/>
    <w:rsid w:val="004B320B"/>
    <w:rsid w:val="005666DE"/>
    <w:rsid w:val="00577F53"/>
    <w:rsid w:val="00635AC0"/>
    <w:rsid w:val="00647D0F"/>
    <w:rsid w:val="00657463"/>
    <w:rsid w:val="006C6A28"/>
    <w:rsid w:val="006D1B5E"/>
    <w:rsid w:val="006E73FA"/>
    <w:rsid w:val="006E7F93"/>
    <w:rsid w:val="00743538"/>
    <w:rsid w:val="007929FC"/>
    <w:rsid w:val="0079754E"/>
    <w:rsid w:val="007C2220"/>
    <w:rsid w:val="007C43EF"/>
    <w:rsid w:val="007D6A9F"/>
    <w:rsid w:val="007E3CAC"/>
    <w:rsid w:val="0081126F"/>
    <w:rsid w:val="00830127"/>
    <w:rsid w:val="008575A5"/>
    <w:rsid w:val="00871B34"/>
    <w:rsid w:val="008A029A"/>
    <w:rsid w:val="008A39E6"/>
    <w:rsid w:val="008B1421"/>
    <w:rsid w:val="008B3479"/>
    <w:rsid w:val="00905D88"/>
    <w:rsid w:val="009140DD"/>
    <w:rsid w:val="00923BE1"/>
    <w:rsid w:val="009275C3"/>
    <w:rsid w:val="00932142"/>
    <w:rsid w:val="00933C1A"/>
    <w:rsid w:val="009632B6"/>
    <w:rsid w:val="00973DF3"/>
    <w:rsid w:val="00983CA9"/>
    <w:rsid w:val="009A6FB3"/>
    <w:rsid w:val="009C2EA6"/>
    <w:rsid w:val="009D0AD2"/>
    <w:rsid w:val="00A04F92"/>
    <w:rsid w:val="00A51BC1"/>
    <w:rsid w:val="00A716AD"/>
    <w:rsid w:val="00AB1106"/>
    <w:rsid w:val="00AB17C7"/>
    <w:rsid w:val="00AE1F22"/>
    <w:rsid w:val="00B353F5"/>
    <w:rsid w:val="00B47673"/>
    <w:rsid w:val="00B83DD0"/>
    <w:rsid w:val="00BA2910"/>
    <w:rsid w:val="00BD2D34"/>
    <w:rsid w:val="00C060B3"/>
    <w:rsid w:val="00C1112D"/>
    <w:rsid w:val="00C22AFD"/>
    <w:rsid w:val="00C270DC"/>
    <w:rsid w:val="00C42B59"/>
    <w:rsid w:val="00C738B3"/>
    <w:rsid w:val="00CA223A"/>
    <w:rsid w:val="00CA4CC0"/>
    <w:rsid w:val="00CB52A3"/>
    <w:rsid w:val="00D41BFD"/>
    <w:rsid w:val="00D55013"/>
    <w:rsid w:val="00D90B34"/>
    <w:rsid w:val="00DA56DD"/>
    <w:rsid w:val="00DB0541"/>
    <w:rsid w:val="00DC4CBF"/>
    <w:rsid w:val="00DC71B5"/>
    <w:rsid w:val="00E26BEB"/>
    <w:rsid w:val="00E3307D"/>
    <w:rsid w:val="00E357D2"/>
    <w:rsid w:val="00E77D9D"/>
    <w:rsid w:val="00E86A79"/>
    <w:rsid w:val="00E914D3"/>
    <w:rsid w:val="00E93E55"/>
    <w:rsid w:val="00EC232F"/>
    <w:rsid w:val="00ED6991"/>
    <w:rsid w:val="00F4469B"/>
    <w:rsid w:val="00F8560A"/>
    <w:rsid w:val="00F94959"/>
    <w:rsid w:val="00F97A74"/>
    <w:rsid w:val="00FA4575"/>
    <w:rsid w:val="00FB115B"/>
    <w:rsid w:val="00FD3B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4"/>
    <o:shapelayout v:ext="edit">
      <o:idmap v:ext="edit" data="1"/>
    </o:shapelayout>
  </w:shapeDefaults>
  <w:decimalSymbol w:val="."/>
  <w:listSeparator w:val=","/>
  <w14:docId w14:val="185BDF1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4469B"/>
    <w:rPr>
      <w:rFonts w:ascii="Lucida Grande" w:hAnsi="Lucida Grande"/>
      <w:sz w:val="18"/>
      <w:szCs w:val="18"/>
    </w:rPr>
  </w:style>
  <w:style w:type="character" w:customStyle="1" w:styleId="BalloonTextChar">
    <w:name w:val="Balloon Text Char"/>
    <w:basedOn w:val="DefaultParagraphFont"/>
    <w:link w:val="BalloonText"/>
    <w:uiPriority w:val="99"/>
    <w:semiHidden/>
    <w:rsid w:val="00F4469B"/>
    <w:rPr>
      <w:rFonts w:ascii="Lucida Grande" w:hAnsi="Lucida Grande"/>
      <w:sz w:val="18"/>
      <w:szCs w:val="18"/>
    </w:rPr>
  </w:style>
  <w:style w:type="paragraph" w:styleId="ListParagraph">
    <w:name w:val="List Paragraph"/>
    <w:basedOn w:val="Normal"/>
    <w:uiPriority w:val="34"/>
    <w:qFormat/>
    <w:rsid w:val="00F4469B"/>
    <w:pPr>
      <w:ind w:left="720"/>
      <w:contextualSpacing/>
    </w:pPr>
  </w:style>
  <w:style w:type="character" w:styleId="CommentReference">
    <w:name w:val="annotation reference"/>
    <w:basedOn w:val="DefaultParagraphFont"/>
    <w:uiPriority w:val="99"/>
    <w:semiHidden/>
    <w:unhideWhenUsed/>
    <w:rsid w:val="00482DB1"/>
    <w:rPr>
      <w:sz w:val="18"/>
      <w:szCs w:val="18"/>
    </w:rPr>
  </w:style>
  <w:style w:type="paragraph" w:styleId="CommentText">
    <w:name w:val="annotation text"/>
    <w:basedOn w:val="Normal"/>
    <w:link w:val="CommentTextChar"/>
    <w:uiPriority w:val="99"/>
    <w:semiHidden/>
    <w:unhideWhenUsed/>
    <w:rsid w:val="00482DB1"/>
  </w:style>
  <w:style w:type="character" w:customStyle="1" w:styleId="CommentTextChar">
    <w:name w:val="Comment Text Char"/>
    <w:basedOn w:val="DefaultParagraphFont"/>
    <w:link w:val="CommentText"/>
    <w:uiPriority w:val="99"/>
    <w:semiHidden/>
    <w:rsid w:val="00482DB1"/>
  </w:style>
  <w:style w:type="paragraph" w:styleId="CommentSubject">
    <w:name w:val="annotation subject"/>
    <w:basedOn w:val="CommentText"/>
    <w:next w:val="CommentText"/>
    <w:link w:val="CommentSubjectChar"/>
    <w:uiPriority w:val="99"/>
    <w:semiHidden/>
    <w:unhideWhenUsed/>
    <w:rsid w:val="00482DB1"/>
    <w:rPr>
      <w:b/>
      <w:bCs/>
      <w:sz w:val="20"/>
      <w:szCs w:val="20"/>
    </w:rPr>
  </w:style>
  <w:style w:type="character" w:customStyle="1" w:styleId="CommentSubjectChar">
    <w:name w:val="Comment Subject Char"/>
    <w:basedOn w:val="CommentTextChar"/>
    <w:link w:val="CommentSubject"/>
    <w:uiPriority w:val="99"/>
    <w:semiHidden/>
    <w:rsid w:val="00482DB1"/>
    <w:rPr>
      <w:b/>
      <w:bCs/>
      <w:sz w:val="20"/>
      <w:szCs w:val="20"/>
    </w:rPr>
  </w:style>
  <w:style w:type="character" w:styleId="PlaceholderText">
    <w:name w:val="Placeholder Text"/>
    <w:basedOn w:val="DefaultParagraphFont"/>
    <w:uiPriority w:val="99"/>
    <w:semiHidden/>
    <w:rsid w:val="006D1B5E"/>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4469B"/>
    <w:rPr>
      <w:rFonts w:ascii="Lucida Grande" w:hAnsi="Lucida Grande"/>
      <w:sz w:val="18"/>
      <w:szCs w:val="18"/>
    </w:rPr>
  </w:style>
  <w:style w:type="character" w:customStyle="1" w:styleId="BalloonTextChar">
    <w:name w:val="Balloon Text Char"/>
    <w:basedOn w:val="DefaultParagraphFont"/>
    <w:link w:val="BalloonText"/>
    <w:uiPriority w:val="99"/>
    <w:semiHidden/>
    <w:rsid w:val="00F4469B"/>
    <w:rPr>
      <w:rFonts w:ascii="Lucida Grande" w:hAnsi="Lucida Grande"/>
      <w:sz w:val="18"/>
      <w:szCs w:val="18"/>
    </w:rPr>
  </w:style>
  <w:style w:type="paragraph" w:styleId="ListParagraph">
    <w:name w:val="List Paragraph"/>
    <w:basedOn w:val="Normal"/>
    <w:uiPriority w:val="34"/>
    <w:qFormat/>
    <w:rsid w:val="00F4469B"/>
    <w:pPr>
      <w:ind w:left="720"/>
      <w:contextualSpacing/>
    </w:pPr>
  </w:style>
  <w:style w:type="character" w:styleId="CommentReference">
    <w:name w:val="annotation reference"/>
    <w:basedOn w:val="DefaultParagraphFont"/>
    <w:uiPriority w:val="99"/>
    <w:semiHidden/>
    <w:unhideWhenUsed/>
    <w:rsid w:val="00482DB1"/>
    <w:rPr>
      <w:sz w:val="18"/>
      <w:szCs w:val="18"/>
    </w:rPr>
  </w:style>
  <w:style w:type="paragraph" w:styleId="CommentText">
    <w:name w:val="annotation text"/>
    <w:basedOn w:val="Normal"/>
    <w:link w:val="CommentTextChar"/>
    <w:uiPriority w:val="99"/>
    <w:semiHidden/>
    <w:unhideWhenUsed/>
    <w:rsid w:val="00482DB1"/>
  </w:style>
  <w:style w:type="character" w:customStyle="1" w:styleId="CommentTextChar">
    <w:name w:val="Comment Text Char"/>
    <w:basedOn w:val="DefaultParagraphFont"/>
    <w:link w:val="CommentText"/>
    <w:uiPriority w:val="99"/>
    <w:semiHidden/>
    <w:rsid w:val="00482DB1"/>
  </w:style>
  <w:style w:type="paragraph" w:styleId="CommentSubject">
    <w:name w:val="annotation subject"/>
    <w:basedOn w:val="CommentText"/>
    <w:next w:val="CommentText"/>
    <w:link w:val="CommentSubjectChar"/>
    <w:uiPriority w:val="99"/>
    <w:semiHidden/>
    <w:unhideWhenUsed/>
    <w:rsid w:val="00482DB1"/>
    <w:rPr>
      <w:b/>
      <w:bCs/>
      <w:sz w:val="20"/>
      <w:szCs w:val="20"/>
    </w:rPr>
  </w:style>
  <w:style w:type="character" w:customStyle="1" w:styleId="CommentSubjectChar">
    <w:name w:val="Comment Subject Char"/>
    <w:basedOn w:val="CommentTextChar"/>
    <w:link w:val="CommentSubject"/>
    <w:uiPriority w:val="99"/>
    <w:semiHidden/>
    <w:rsid w:val="00482DB1"/>
    <w:rPr>
      <w:b/>
      <w:bCs/>
      <w:sz w:val="20"/>
      <w:szCs w:val="20"/>
    </w:rPr>
  </w:style>
  <w:style w:type="character" w:styleId="PlaceholderText">
    <w:name w:val="Placeholder Text"/>
    <w:basedOn w:val="DefaultParagraphFont"/>
    <w:uiPriority w:val="99"/>
    <w:semiHidden/>
    <w:rsid w:val="006D1B5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142D5-6848-DD42-B1E1-0FFF0CC92D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806</Words>
  <Characters>4595</Characters>
  <Application>Microsoft Macintosh Word</Application>
  <DocSecurity>0</DocSecurity>
  <Lines>38</Lines>
  <Paragraphs>10</Paragraphs>
  <ScaleCrop>false</ScaleCrop>
  <Company>lanl</Company>
  <LinksUpToDate>false</LinksUpToDate>
  <CharactersWithSpaces>5391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monty vesselinov</dc:creator>
  <cp:keywords/>
  <dc:description/>
  <cp:lastModifiedBy>monty vesselinov</cp:lastModifiedBy>
  <cp:revision>2</cp:revision>
  <dcterms:created xsi:type="dcterms:W3CDTF">2015-09-05T16:28:00Z</dcterms:created>
  <dcterms:modified xsi:type="dcterms:W3CDTF">2015-09-05T16:28:00Z</dcterms:modified>
</cp:coreProperties>
</file>